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Dear Editors,</w:t>
      </w:r>
    </w:p>
    <w:p>
      <w:pPr>
        <w:pStyle w:val="BodyText"/>
      </w:pPr>
      <w:r>
        <w:t xml:space="preserve">We are pleased to submit our manuscript,</w:t>
      </w:r>
      <w:r>
        <w:t xml:space="preserve"> </w:t>
      </w:r>
      <w:r>
        <w:t xml:space="preserve">“A distribution-aware framework for prioritizing heterogeneous disease-relevant responses in single-cell perturbation data,”</w:t>
      </w:r>
      <w:r>
        <w:t xml:space="preserve"> </w:t>
      </w:r>
      <w:r>
        <w:t xml:space="preserve">for consideration as an Article in</w:t>
      </w:r>
      <w:r>
        <w:t xml:space="preserve"> </w:t>
      </w:r>
      <w:r>
        <w:rPr>
          <w:i/>
          <w:iCs/>
        </w:rPr>
        <w:t xml:space="preserve">Communications Medicine</w:t>
      </w:r>
      <w:r>
        <w:t xml:space="preserve">. This submission is made through the Nature Portfolio transfer service following the transfer recommendation associated with our previous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submission, NMETH-A66354, originally entitled</w:t>
      </w:r>
      <w:r>
        <w:t xml:space="preserve"> </w:t>
      </w:r>
      <w:r>
        <w:t xml:space="preserve">“PGAATRACE for clinical single-cell virtual perturbation maps.”</w:t>
      </w:r>
    </w:p>
    <w:p>
      <w:pPr>
        <w:pStyle w:val="BodyText"/>
      </w:pPr>
      <w:r>
        <w:t xml:space="preserve">We have revised and retitled the manuscript specifically for</w:t>
      </w:r>
      <w:r>
        <w:t xml:space="preserve"> </w:t>
      </w:r>
      <w:r>
        <w:rPr>
          <w:i/>
          <w:iCs/>
        </w:rPr>
        <w:t xml:space="preserve">Communications Medicine</w:t>
      </w:r>
      <w:r>
        <w:t xml:space="preserve">. The revised manuscript presents PGAA, a Python/R software framework for prioritizing heterogeneous transcriptional responses in single-cell perturbation data and marker-anchored disease-state contrasts. We believe the study fits</w:t>
      </w:r>
      <w:r>
        <w:t xml:space="preserve"> </w:t>
      </w:r>
      <w:r>
        <w:rPr>
          <w:i/>
          <w:iCs/>
        </w:rPr>
        <w:t xml:space="preserve">Communications Medicine</w:t>
      </w:r>
      <w:r>
        <w:t xml:space="preserve"> </w:t>
      </w:r>
      <w:r>
        <w:t xml:space="preserve">because it addresses a practical translational problem: patient-derived single-cell datasets and disease-model perturbation screens often contain responder states confined to subsets of cells, whereas standard mean-focused analyses can under-rank such signals. PGAA provides a transparent distribution-aware prioritization layer, supported by disease-relevant marker-recovery analyses, Perturb-seq benchmarks, calibration diagnostics, and explicit limitations.</w:t>
      </w:r>
    </w:p>
    <w:p>
      <w:pPr>
        <w:pStyle w:val="BodyText"/>
      </w:pPr>
      <w:r>
        <w:t xml:space="preserve">The manuscript distinguishes observational marker recovery from experimental perturbation validation. Across five disease-relevant observational scRNA-seq datasets, PGAA recovers known marker programs, including B-cell receptor signaling in chronic lymphocytic leukemia; these analyses are interpreted conservatively as disease-state marker prioritization rather than causal validation. In experimental Perturb-seq benchmarks, the Adamson 2016 unfolded-protein-response CRISPRi dataset provides a small independent validation setting in which the Wasserstein statistic outperforms Wilcoxon, t-test and MAST, whereas the Norman 2019 CEBPE CRISPRa analysis is presented as a narrow persistence-ranking example rather than broad target-program recovery.</w:t>
      </w:r>
    </w:p>
    <w:p>
      <w:pPr>
        <w:pStyle w:val="BodyText"/>
      </w:pPr>
      <w:r>
        <w:t xml:space="preserve">The work is intended to support translational hypothesis prioritization for follow-up in disease models, patient-derived systems, or perturbation screens. We do not claim new clinical biomarkers, direct treatment recommendations, or bedside diagnostic utility from the public observational datasets.</w:t>
      </w:r>
    </w:p>
    <w:p>
      <w:pPr>
        <w:pStyle w:val="BodyText"/>
      </w:pPr>
      <w:r>
        <w:t xml:space="preserve">The public code-only repository is available at https://github.com/xutaoguo55/pgaa. Release v0.1.0-code is archived at Zenodo (DOI: https://doi.org/10.5281/zenodo.20681141) and by Software Heritage (SWHID: swh:1:snp:5b1b2cc9ce32298968e00f69e1af5ff8aed8889f). Manuscript-specific source-data tables, figure-reproduction scripts, runtime documentation, and PDF build files are provided in the submitted supplementary software archive.</w:t>
      </w:r>
    </w:p>
    <w:p>
      <w:pPr>
        <w:pStyle w:val="BodyText"/>
      </w:pPr>
      <w:r>
        <w:t xml:space="preserve">All authors have approved the manuscript. We declare no competing interests and no external funding. We opt in to Transparent Peer Review.</w:t>
      </w:r>
    </w:p>
    <w:p>
      <w:pPr>
        <w:pStyle w:val="BodyText"/>
      </w:pPr>
      <w:r>
        <w:t xml:space="preserve">Thank you for considering our manuscript.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Xutao Guo, on behalf of all authors</w:t>
      </w:r>
    </w:p>
    <w:p>
      <w:pPr>
        <w:pStyle w:val="BodyText"/>
      </w:pPr>
      <w:r>
        <w:t xml:space="preserve">Department of Hematology, Nanfang Hospital, Southern Medical University</w:t>
      </w:r>
    </w:p>
    <w:p>
      <w:pPr>
        <w:pStyle w:val="BodyText"/>
      </w:pPr>
      <w:r>
        <w:t xml:space="preserve">Clinical Medical Research Center of Hematological Diseases of Guangdong Province</w:t>
      </w:r>
    </w:p>
    <w:p>
      <w:pPr>
        <w:pStyle w:val="BodyText"/>
      </w:pPr>
      <w:r>
        <w:t xml:space="preserve">Email: guoxutao@smu.edu.cn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2026-06-14T05:21:44Z</dcterms:created>
  <dcterms:modified xsi:type="dcterms:W3CDTF">2026-06-14T05:21:44Z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