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两个磁感应强度均为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666666"/>
          <w:sz w:val="21"/>
          <w:szCs w:val="21"/>
        </w:rPr>
        <w:t>的匀强磁场区域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Ⅰ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Ⅲ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,</w:t>
      </w:r>
      <w:r>
        <w:rPr>
          <w:rFonts w:ascii="Arial" w:hAnsi="Arial" w:cs="Arial"/>
          <w:color w:val="666666"/>
          <w:sz w:val="21"/>
          <w:szCs w:val="21"/>
        </w:rPr>
        <w:t>方向如图所示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,</w:t>
      </w:r>
      <w:r>
        <w:rPr>
          <w:rFonts w:ascii="Arial" w:hAnsi="Arial" w:cs="Arial"/>
          <w:color w:val="666666"/>
          <w:sz w:val="21"/>
          <w:szCs w:val="21"/>
        </w:rPr>
        <w:t>两个区域中间为宽为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s</w:t>
      </w:r>
      <w:r>
        <w:rPr>
          <w:rFonts w:ascii="Arial" w:hAnsi="Arial" w:cs="Arial"/>
          <w:color w:val="666666"/>
          <w:sz w:val="21"/>
          <w:szCs w:val="21"/>
        </w:rPr>
        <w:t>的无磁场区域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Ⅱ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,</w:t>
      </w:r>
      <w:r>
        <w:rPr>
          <w:rFonts w:ascii="Arial" w:hAnsi="Arial" w:cs="Arial"/>
          <w:color w:val="666666"/>
          <w:sz w:val="21"/>
          <w:szCs w:val="21"/>
        </w:rPr>
        <w:t>有一边长为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L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(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L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&gt;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s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666666"/>
          <w:sz w:val="21"/>
          <w:szCs w:val="21"/>
        </w:rPr>
        <w:t>、电阻为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R</w:t>
      </w:r>
      <w:r>
        <w:rPr>
          <w:rFonts w:ascii="Arial" w:hAnsi="Arial" w:cs="Arial"/>
          <w:color w:val="666666"/>
          <w:sz w:val="21"/>
          <w:szCs w:val="21"/>
        </w:rPr>
        <w:t>的均匀正方形金属线框</w:t>
      </w:r>
      <w:proofErr w:type="spellStart"/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abcd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置于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Ⅰ</w:t>
      </w:r>
      <w:r>
        <w:rPr>
          <w:rFonts w:ascii="Arial" w:hAnsi="Arial" w:cs="Arial"/>
          <w:color w:val="666666"/>
          <w:sz w:val="21"/>
          <w:szCs w:val="21"/>
        </w:rPr>
        <w:t>区域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,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边与磁场边界平行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,</w:t>
      </w:r>
      <w:r>
        <w:rPr>
          <w:rFonts w:ascii="Arial" w:hAnsi="Arial" w:cs="Arial"/>
          <w:color w:val="666666"/>
          <w:sz w:val="21"/>
          <w:szCs w:val="21"/>
        </w:rPr>
        <w:t>现拉着金属线框以速度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v</w:t>
      </w:r>
      <w:r>
        <w:rPr>
          <w:rFonts w:ascii="Arial" w:hAnsi="Arial" w:cs="Arial"/>
          <w:color w:val="666666"/>
          <w:sz w:val="21"/>
          <w:szCs w:val="21"/>
        </w:rPr>
        <w:t>向右匀速运动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,</w:t>
      </w:r>
      <w:r>
        <w:rPr>
          <w:rFonts w:ascii="Arial" w:hAnsi="Arial" w:cs="Arial"/>
          <w:color w:val="666666"/>
          <w:sz w:val="21"/>
          <w:szCs w:val="21"/>
        </w:rPr>
        <w:t>则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()</w:t>
      </w:r>
    </w:p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2537460" cy="1341120"/>
            <wp:effectExtent l="0" t="0" r="0" b="0"/>
            <wp:docPr id="1" name="图片 1" descr="http://img.zuoyebang.cc/zyb_0734ba39c3f36ca7860d3191477065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zuoyebang.cc/zyb_0734ba39c3f36ca7860d3191477065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/>
      </w:r>
    </w:p>
    <w:p w:rsidR="00832EF3" w:rsidRDefault="008B5E3D">
      <w:r w:rsidRPr="008B5E3D">
        <w:rPr>
          <w:noProof/>
        </w:rPr>
        <w:drawing>
          <wp:inline distT="0" distB="0" distL="0" distR="0">
            <wp:extent cx="5274310" cy="904240"/>
            <wp:effectExtent l="0" t="0" r="2540" b="0"/>
            <wp:docPr id="2" name="图片 2" descr="C:\Users\星星\Downloads\2656823393\FileRecv\MobileFile\Image\4(8A_P09)1A0ML5V%}%C9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星星\Downloads\2656823393\FileRecv\MobileFile\Image\4(8A_P09)1A0ML5V%}%C9K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3D" w:rsidRPr="008B5E3D" w:rsidRDefault="008B5E3D">
      <w:pPr>
        <w:rPr>
          <w:color w:val="FF0000"/>
        </w:rPr>
      </w:pPr>
      <w:r w:rsidRPr="008B5E3D">
        <w:rPr>
          <w:rFonts w:hint="eastAsia"/>
          <w:color w:val="FF0000"/>
        </w:rPr>
        <w:t>解答</w:t>
      </w:r>
    </w:p>
    <w:p w:rsidR="008B5E3D" w:rsidRDefault="008B5E3D">
      <w:r w:rsidRPr="008B5E3D">
        <w:rPr>
          <w:noProof/>
        </w:rPr>
        <w:drawing>
          <wp:inline distT="0" distB="0" distL="0" distR="0">
            <wp:extent cx="5274310" cy="899795"/>
            <wp:effectExtent l="0" t="0" r="2540" b="0"/>
            <wp:docPr id="3" name="图片 3" descr="C:\Users\星星\Downloads\2656823393\FileRecv\MobileFile\Image\K0EP~6CU75Q9W{EO@}0{`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星星\Downloads\2656823393\FileRecv\MobileFile\Image\K0EP~6CU75Q9W{EO@}0{`O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3D" w:rsidRDefault="008B5E3D"/>
    <w:p w:rsidR="008B5E3D" w:rsidRDefault="008B5E3D"/>
    <w:p w:rsidR="008B5E3D" w:rsidRDefault="008B5E3D"/>
    <w:p w:rsidR="008B5E3D" w:rsidRPr="008B5E3D" w:rsidRDefault="008B5E3D" w:rsidP="008B5E3D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B5E3D">
        <w:rPr>
          <w:rFonts w:ascii="Arial" w:eastAsia="宋体" w:hAnsi="Arial" w:cs="Arial"/>
          <w:color w:val="666666"/>
          <w:kern w:val="0"/>
          <w:szCs w:val="21"/>
        </w:rPr>
        <w:t>如图所示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金属线框与直导线</w:t>
      </w:r>
      <w:r w:rsidRPr="008B5E3D">
        <w:rPr>
          <w:rFonts w:ascii="MathJax_Math" w:eastAsia="宋体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AB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在同一平面内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直导线中通有电流</w:t>
      </w:r>
      <w:r w:rsidRPr="008B5E3D">
        <w:rPr>
          <w:rFonts w:ascii="MathJax_Math" w:eastAsia="宋体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I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若将线框由位置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1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拉至位置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2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的过程中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8B5E3D">
        <w:rPr>
          <w:rFonts w:ascii="Arial" w:eastAsia="宋体" w:hAnsi="Arial" w:cs="Arial"/>
          <w:color w:val="666666"/>
          <w:kern w:val="0"/>
          <w:szCs w:val="21"/>
        </w:rPr>
        <w:t>线框的感应电流的方向是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(</w:t>
      </w:r>
      <w:r w:rsidRPr="008B5E3D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先逆时针，后顺时针，再逆时针</w:t>
      </w:r>
      <w:r w:rsidRPr="008B5E3D">
        <w:rPr>
          <w:rFonts w:ascii="MathJax_Main" w:eastAsia="宋体" w:hAnsi="MathJax_Main" w:cs="Arial"/>
          <w:color w:val="666666"/>
          <w:kern w:val="0"/>
          <w:szCs w:val="21"/>
          <w:bdr w:val="none" w:sz="0" w:space="0" w:color="auto" w:frame="1"/>
        </w:rPr>
        <w:t>)</w:t>
      </w:r>
    </w:p>
    <w:p w:rsidR="008B5E3D" w:rsidRPr="008B5E3D" w:rsidRDefault="008B5E3D" w:rsidP="008B5E3D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B5E3D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944880" cy="723900"/>
            <wp:effectExtent l="0" t="0" r="7620" b="0"/>
            <wp:docPr id="4" name="图片 4" descr="http://img.zuoyebang.cc/zyb_38e7201da2a4be81530d8b8ce74339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zuoyebang.cc/zyb_38e7201da2a4be81530d8b8ce74339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3D" w:rsidRDefault="008B5E3D" w:rsidP="008B5E3D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</w:p>
    <w:p w:rsidR="008B5E3D" w:rsidRPr="008B5E3D" w:rsidRDefault="008B5E3D" w:rsidP="008B5E3D">
      <w:pPr>
        <w:rPr>
          <w:rFonts w:ascii="Arial" w:eastAsia="宋体" w:hAnsi="Arial" w:cs="Arial" w:hint="eastAsia"/>
          <w:color w:val="FF0000"/>
          <w:kern w:val="0"/>
          <w:szCs w:val="21"/>
          <w:shd w:val="clear" w:color="auto" w:fill="FFFFFF"/>
        </w:rPr>
      </w:pPr>
      <w:r w:rsidRPr="008B5E3D">
        <w:rPr>
          <w:rFonts w:ascii="Arial" w:eastAsia="宋体" w:hAnsi="Arial" w:cs="Arial" w:hint="eastAsia"/>
          <w:color w:val="FF0000"/>
          <w:kern w:val="0"/>
          <w:szCs w:val="21"/>
          <w:shd w:val="clear" w:color="auto" w:fill="FFFFFF"/>
        </w:rPr>
        <w:t>解答</w:t>
      </w:r>
    </w:p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通直电导线中，根据安培定则可得，直线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左边磁场方向垂直纸面向里，右边的磁场方向垂直纸面向外。线框由位置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666666"/>
          <w:sz w:val="21"/>
          <w:szCs w:val="21"/>
        </w:rPr>
        <w:t>拉至位置</w:t>
      </w:r>
      <w:r>
        <w:rPr>
          <w:rStyle w:val="ps"/>
          <w:rFonts w:ascii="MathJax_Main" w:hAnsi="MathJax_Main" w:cs="Arial"/>
          <w:color w:val="666666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666666"/>
          <w:sz w:val="21"/>
          <w:szCs w:val="21"/>
        </w:rPr>
        <w:t>的过程中，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当导线框</w:t>
      </w:r>
      <w:proofErr w:type="gramEnd"/>
      <w:r>
        <w:rPr>
          <w:rFonts w:ascii="Arial" w:hAnsi="Arial" w:cs="Arial"/>
          <w:color w:val="666666"/>
          <w:sz w:val="21"/>
          <w:szCs w:val="21"/>
        </w:rPr>
        <w:t>位于直线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左侧运动时，由于磁场向里且大小增加，则磁通量增加，根据楞次定律可知，感应电流方向为逆时针。</w:t>
      </w:r>
    </w:p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color w:val="666666"/>
          <w:sz w:val="21"/>
          <w:szCs w:val="21"/>
        </w:rPr>
        <w:t>当导线框</w:t>
      </w:r>
      <w:proofErr w:type="gramEnd"/>
      <w:r>
        <w:rPr>
          <w:rFonts w:ascii="Arial" w:hAnsi="Arial" w:cs="Arial"/>
          <w:color w:val="666666"/>
          <w:sz w:val="21"/>
          <w:szCs w:val="21"/>
        </w:rPr>
        <w:t>右边靠近直线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到线框中轴与直线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重合时，由于磁场左边向里右边向外，则磁通量减小，根据楞次定律可知，感应电流方向为顺时针。</w:t>
      </w:r>
    </w:p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当线框中轴与直线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重合到导线框左边离开直线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时，由于磁场左边向里右边向外，则磁通量增加，根据楞次定律可知，感应电流方向为顺时针。</w:t>
      </w:r>
    </w:p>
    <w:p w:rsidR="008B5E3D" w:rsidRDefault="008B5E3D" w:rsidP="008B5E3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color w:val="666666"/>
          <w:sz w:val="21"/>
          <w:szCs w:val="21"/>
        </w:rPr>
        <w:lastRenderedPageBreak/>
        <w:t>当导线框</w:t>
      </w:r>
      <w:proofErr w:type="gramEnd"/>
      <w:r>
        <w:rPr>
          <w:rFonts w:ascii="Arial" w:hAnsi="Arial" w:cs="Arial"/>
          <w:color w:val="666666"/>
          <w:sz w:val="21"/>
          <w:szCs w:val="21"/>
        </w:rPr>
        <w:t>位于直线</w:t>
      </w:r>
      <w:r>
        <w:rPr>
          <w:rStyle w:val="ps"/>
          <w:rFonts w:ascii="MathJax_Math" w:hAnsi="MathJax_Math" w:cs="Arial"/>
          <w:i/>
          <w:iCs/>
          <w:color w:val="666666"/>
          <w:sz w:val="21"/>
          <w:szCs w:val="21"/>
          <w:bdr w:val="none" w:sz="0" w:space="0" w:color="auto" w:frame="1"/>
        </w:rPr>
        <w:t>AB</w:t>
      </w:r>
      <w:r>
        <w:rPr>
          <w:rFonts w:ascii="Arial" w:hAnsi="Arial" w:cs="Arial"/>
          <w:color w:val="666666"/>
          <w:sz w:val="21"/>
          <w:szCs w:val="21"/>
        </w:rPr>
        <w:t>右侧运动时，由于磁场向外且大小减小，则磁通量减小，根据楞次定律可知，感应电流方向为逆时针</w:t>
      </w:r>
    </w:p>
    <w:p w:rsidR="008B5E3D" w:rsidRPr="008B5E3D" w:rsidRDefault="008B5E3D" w:rsidP="008B5E3D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bookmarkStart w:id="0" w:name="_GoBack"/>
      <w:bookmarkEnd w:id="0"/>
    </w:p>
    <w:p w:rsidR="008B5E3D" w:rsidRPr="008B5E3D" w:rsidRDefault="008B5E3D" w:rsidP="008B5E3D">
      <w:pPr>
        <w:rPr>
          <w:rFonts w:hint="eastAsia"/>
        </w:rPr>
      </w:pPr>
    </w:p>
    <w:sectPr w:rsidR="008B5E3D" w:rsidRPr="008B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D"/>
    <w:rsid w:val="002F47D7"/>
    <w:rsid w:val="003C4C2D"/>
    <w:rsid w:val="00885D8F"/>
    <w:rsid w:val="008B5E3D"/>
    <w:rsid w:val="00BE0AF8"/>
    <w:rsid w:val="00E0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D361"/>
  <w15:chartTrackingRefBased/>
  <w15:docId w15:val="{A023DFD0-6D41-4EE6-A4A2-8BFA4779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5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s">
    <w:name w:val="ps"/>
    <w:basedOn w:val="a0"/>
    <w:rsid w:val="008B5E3D"/>
  </w:style>
  <w:style w:type="paragraph" w:styleId="a4">
    <w:name w:val="Balloon Text"/>
    <w:basedOn w:val="a"/>
    <w:link w:val="a5"/>
    <w:uiPriority w:val="99"/>
    <w:semiHidden/>
    <w:unhideWhenUsed/>
    <w:rsid w:val="008B5E3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B5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2019-06-08T05:13:00Z</dcterms:created>
  <dcterms:modified xsi:type="dcterms:W3CDTF">2019-06-08T07:12:00Z</dcterms:modified>
</cp:coreProperties>
</file>