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职能部门成员ERP系统操作分析报告</w:t>
      </w:r>
    </w:p>
    <w:p>
      <w:pPr>
        <w:jc w:val="center"/>
      </w:pPr>
      <w:r>
        <w:rPr>
          <w:rFonts w:ascii="微软雅黑" w:hAnsi="微软雅黑" w:eastAsia="微软雅黑"/>
          <w:color w:val="44546A"/>
          <w:sz w:val="20"/>
        </w:rPr>
        <w:t>基于《ERP使用情况-近一年.xlsx》中“职能部门人员ERP操作”与“职能部门人员台账”数据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台账人员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208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有操作记录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158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无操作记录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50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操作覆盖率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76.0%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流程总量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306,471</w:t>
            </w:r>
          </w:p>
        </w:tc>
      </w:tr>
    </w:tbl>
    <w:p/>
    <w:p>
      <w:pPr>
        <w:pStyle w:val="Heading1"/>
      </w:pPr>
      <w:r>
        <w:t>一、总体结论</w:t>
      </w:r>
    </w:p>
    <w:p>
      <w:r>
        <w:t>近一年职能部门ERP操作呈现“覆盖面较广、审批端高度集中、评论和驳回集中于少数流程岗位”的特征。台账共208人，其中158人在台账内匹配到操作记录，50人未匹配到操作记录，台账口径覆盖率为76.0%。部门汇总表显示参与人数为159人，较台账姓名匹配口径多1人，差异来自操作明细中存在但台账未找到的人员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流程总量为306,471次，其中审批流程296,177次，占96.6%；发起流程10,294次。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驳回共8,243次、有效评论20,734次；驳回均发生在“参与审批者”角色，说明退回和意见表达主要沉淀在审批环节。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资产财务部、公司领导、合同管理部、物资部、项目管理公司是流程量较高的部门，合计承担了绝大多数审批及处理压力。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数据口径需关注：操作明细中有记录但人员台账未找到姓名的人员为唐建方。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另有人员姓名可匹配但部门口径不一致：何永欣（台账部门：市场开发部，ERP记录部门：待岗人员）。本报告按姓名认定其“有操作记录”，部门覆盖统计按台账部门归属。</w:t>
      </w:r>
    </w:p>
    <w:p>
      <w:pPr>
        <w:pStyle w:val="Heading1"/>
      </w:pPr>
      <w:r>
        <w:t>二、部门覆盖与操作量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台账人数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有操作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无操作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覆盖率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发起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审批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3,334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133,779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2,853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4,048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40,026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721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1,011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87.5%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2,837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26,889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1,427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8,501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738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18,608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1,178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1,745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73.3%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885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14,424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621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1,261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68.2%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12,117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10,855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9,704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8,890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717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信息化中心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5,947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1,519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60.9%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4,272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66.7%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4,230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3,544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1,908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33.3%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963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</w:tbl>
    <w:p/>
    <w:p>
      <w:r>
        <w:t>从覆盖率看，资产财务部、公司领导、物资部、人力资源部、技术质量部、信息化中心等部门台账成员均有操作记录；待岗人员、综合办公室、技术中心、市场开发部、项目管理公司存在较多未操作人员，应结合岗位属性判断是否属于正常无需使用ERP，或存在授权、流程分工未覆盖的情况。</w:t>
      </w:r>
    </w:p>
    <w:p>
      <w:pPr>
        <w:pStyle w:val="Heading1"/>
      </w:pPr>
      <w:r>
        <w:t>三、角色结构分析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流程数量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占比</w:t>
            </w:r>
          </w:p>
        </w:tc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处理时间(分钟)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参与审批者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296,177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96.6%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729,768,416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8,243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19,671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发起者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10,294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5,966,343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1,063</w:t>
            </w:r>
          </w:p>
        </w:tc>
      </w:tr>
    </w:tbl>
    <w:p/>
    <w:p>
      <w:r>
        <w:t>角色结构上，审批流程数量远高于发起流程数量，说明职能部门成员更多承担流程审核、把关、会签和管理反馈职能。发起者角色没有驳回记录，评论数量也明显低于审批者，符合发起端提交、审批端纠偏的业务特征。</w:t>
      </w:r>
    </w:p>
    <w:p>
      <w:pPr>
        <w:pStyle w:val="Heading1"/>
      </w:pPr>
      <w:r>
        <w:t>四、成员操作强度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发起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审批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17,781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2,481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15,300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2,676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邢阳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10,917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10,627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10,712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10,630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495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朱彬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10,362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10,359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165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10,324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10,144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513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9,883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9,729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孙艳强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9,765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9,704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韩雨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9,234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106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9,128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郑兴文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9,096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531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8,565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甘继荣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9,091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9,081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杨燕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9,015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106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8,909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8,352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8,269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755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5,254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王蕾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8,193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8,085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8,184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7,781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杨文锋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7,198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7,198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</w:t>
            </w:r>
          </w:p>
        </w:tc>
      </w:tr>
    </w:tbl>
    <w:p/>
    <w:p>
      <w:r>
        <w:t>成员层面操作量集中度较高。袁雯雯、邢阳、李玉生、朱彬、高英昌、马言、孙艳强等人员流程量居前，反映这些岗位在合同、财务、审计、项目管理等流程链条中承担关键处理或审批节点。建议对高频人员关注授权备份、流程代理和异常积压风险，避免关键人员缺岗影响流程周转。</w:t>
      </w:r>
    </w:p>
    <w:p>
      <w:pPr>
        <w:pStyle w:val="Heading1"/>
      </w:pPr>
      <w:r>
        <w:t>五、评论与驳回情况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驳回次数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8,352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755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5,254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9,883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卞晓芳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6,542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826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3,194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17,781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2,676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10,324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李瑞霞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2,793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542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郑兴文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9,096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10,712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495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8,184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467</w:t>
            </w:r>
          </w:p>
        </w:tc>
      </w:tr>
    </w:tbl>
    <w:p/>
    <w:p>
      <w:r>
        <w:t>驳回次数靠前人员集中在合同管理部、资产财务部、物资部、项目管理公司和公司领导层，说明这些岗位对流程合规性、资料完整性或业务条件的校验较多。评论次数靠前人员与驳回高频人员高度重合，表明有效评论很可能承担了补充说明、修改指引和审批意见留痕作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驳回次数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8,352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755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5,254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17,781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2,676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9,883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卞晓芳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6,542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826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李军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3,329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李瑞霞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2,793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542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3,194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10,324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10,712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495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8,184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467</w:t>
            </w:r>
          </w:p>
        </w:tc>
      </w:tr>
    </w:tbl>
    <w:p/>
    <w:p>
      <w:pPr>
        <w:pStyle w:val="Heading1"/>
      </w:pPr>
      <w:r>
        <w:t>六、未操作人员与分层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90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无记录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低频(1-99)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中频(100-999)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高频(1000+)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信息化中心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</w:tr>
    </w:tbl>
    <w:p/>
    <w:p>
      <w:r>
        <w:t>无操作人员不必然代表异常，需结合岗位职责、是否待岗、是否需要ERP授权等情况综合判断。但对在职且岗位应参与流程的人员，建议由部门确认授权状态、流程节点配置及年度实际分工。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未操作人数</w:t>
            </w:r>
          </w:p>
        </w:tc>
        <w:tc>
          <w:tcPr>
            <w:tcW w:type="dxa" w:w="5783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未操作人员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张磊、李露、沈浩、王卫、王群、许雪丽、许霄巍、邱关波、陈梅生、鲁仲寅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严贵宁、刘强、史明、周斌、张明、杨文涛、洪路、王星宇、许聚宝、陈庆忠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卢佳华、吴俣、周冰倩、夏国玺、徐成威、成哲辉、杨悦、杨莉娟、林威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包元昌、唐嘉聪、张家诚、杨伟群、王振彬、王真民、纪武军、董家明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夏凤琴、孙珍、张和玉、李兰兰、汤媛、王培云、闫至琴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张晶晶、熊宇彤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吴秋晗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殷嘉敏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林新远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刘晨</w:t>
            </w:r>
          </w:p>
        </w:tc>
      </w:tr>
    </w:tbl>
    <w:p/>
    <w:p>
      <w:pPr>
        <w:pStyle w:val="Heading1"/>
      </w:pPr>
      <w:r>
        <w:t>七、管理建议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按部门复核无操作人员名单，区分“无需使用ERP”“授权未开通”“流程节点未配置”“岗位变动/离职待更新”等原因。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对高频审批人员建立代理和备岗机制，重点关注资产财务部、合同管理部、物资部、项目管理公司等高负荷部门。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针对驳回和评论高发环节，梳理常见退回原因，形成发起端资料清单或审批前校验规则，减少重复修改。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统一操作明细与人员台账口径，补齐操作明细中存在但台账未找到的人员信息，并复核姓名匹配但部门口径不一致的人员，避免后续考核或授权分析出现偏差。</w:t>
      </w:r>
    </w:p>
    <w:p>
      <w:r>
        <w:t>数据来源：ERP使用情况-近一年.xlsx；统计口径：以“职能部门人员ERP操作”按部门、人员、参与类型汇总，并与“职能部门人员台账”按部门+姓名匹配。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