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00" w:lineRule="auto"/>
        <w:jc w:val="center"/>
      </w:pPr>
      <w:r>
        <w:rPr>
          <w:rFonts w:ascii="Times New Roman" w:hAnsi="Times New Roman" w:eastAsia="宋体"/>
          <w:b/>
          <w:sz w:val="32"/>
        </w:rPr>
        <w:t>码间校园市集系统V1.0 学校申报核对清单</w:t>
      </w:r>
    </w:p>
    <w:p>
      <w:pPr>
        <w:spacing w:after="240" w:before="0" w:line="300" w:lineRule="auto"/>
      </w:pPr>
      <w:r>
        <w:rPr>
          <w:rFonts w:ascii="Times New Roman" w:hAnsi="Times New Roman" w:eastAsia="宋体"/>
          <w:b w:val="0"/>
          <w:sz w:val="22"/>
        </w:rPr>
        <w:t>著作权人：甘南县码间软件开发工作室　　开发人：徐文宇　　【说明：个体工商户申请，下列学校公章/OA/报销流程不适用】　　代理：哈尔滨市阳光惠远知识产权代理有限公司（张开茗，微信 Zkming-508）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1. 材料定稿：使用说明书、源代码清单（已完成）。说明书截图可后补。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2. 填写《知识产权披露及申请预评估表》（一式4份：科研处、学院、代理、发明人各一份）。第一开发人签字、院长签字。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3. OA申请科学研究处公章 → 主楼713武鹤老师签字 → 730郑伟老师盖章。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4. 联系代理签合同。付款单位：甘南县码间软件开发工作室（或经营者徐文宇）；费用自理，不走学校财务报销。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5. OA申请合同专用章，院长签字；流程走完后主楼八楼任春霖老师左下角+骑缝盖章。合同管辖须为甲方所在地人民法院，否则法务退回。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6. 代理需要科研处郑伟老师接收的验证码（0451-85963915 / 内线6034）。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7. 按《新客户采集表草稿》填正式采集表发给代理。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8. 代理出具提交材料承诺书：手抄划线内容、经办人签名；OA申请学校公章 → 任春霖老师盖章；全能扫描王生成PDF回传。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9. 个体工商户申请一般无学校报销步骤；受理通知书与发票自行留存。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4"/>
        </w:rPr>
        <w:t>说明：未填写共同开发人。若有合作同学/老师，须在预评估表与采集表中按贡献排序补全，并取得其同意。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