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0" w:type="auto"/>
        <w:tblInd w:w="1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2"/>
        <w:gridCol w:w="1595"/>
        <w:gridCol w:w="747"/>
        <w:gridCol w:w="683"/>
        <w:gridCol w:w="780"/>
        <w:gridCol w:w="1072"/>
        <w:gridCol w:w="682"/>
        <w:gridCol w:w="682"/>
        <w:gridCol w:w="779"/>
        <w:gridCol w:w="1315"/>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5" w:hRule="atLeast"/>
        </w:trPr>
        <w:tc>
          <w:tcPr>
            <w:tcW w:w="10420" w:type="dxa"/>
            <w:gridSpan w:val="11"/>
            <w:tcBorders>
              <w:bottom w:val="single" w:color="FFFFFF" w:sz="8" w:space="0"/>
            </w:tcBorders>
            <w:noWrap w:val="0"/>
            <w:vAlign w:val="top"/>
          </w:tcPr>
          <w:p>
            <w:pPr>
              <w:pStyle w:val="6"/>
              <w:spacing w:before="187" w:line="201" w:lineRule="auto"/>
              <w:ind w:left="3851" w:right="3826"/>
              <w:jc w:val="center"/>
              <w:rPr>
                <w:b/>
                <w:sz w:val="19"/>
              </w:rPr>
            </w:pPr>
            <w:r>
              <w:rPr>
                <w:rFonts w:hint="eastAsia"/>
                <w:b/>
                <w:w w:val="105"/>
                <w:sz w:val="19"/>
                <w:lang w:val="en-US" w:eastAsia="zh-CN"/>
              </w:rPr>
              <w:t>{{fin</w:t>
            </w:r>
            <w:bookmarkStart w:id="0" w:name="_GoBack"/>
            <w:bookmarkEnd w:id="0"/>
            <w:r>
              <w:rPr>
                <w:rFonts w:hint="eastAsia"/>
                <w:b/>
                <w:w w:val="105"/>
                <w:sz w:val="19"/>
                <w:lang w:val="en-US" w:eastAsia="zh-CN"/>
              </w:rPr>
              <w:t>ancialBody}}</w:t>
            </w:r>
            <w:r>
              <w:rPr>
                <w:b/>
                <w:w w:val="105"/>
                <w:sz w:val="19"/>
              </w:rPr>
              <w:t>订购单</w:t>
            </w:r>
          </w:p>
          <w:p>
            <w:pPr>
              <w:pStyle w:val="6"/>
              <w:spacing w:before="4"/>
              <w:ind w:left="0"/>
              <w:rPr>
                <w:rFonts w:ascii="Times New Roman"/>
                <w:sz w:val="27"/>
              </w:rPr>
            </w:pPr>
          </w:p>
          <w:p>
            <w:pPr>
              <w:pStyle w:val="6"/>
              <w:tabs>
                <w:tab w:val="left" w:pos="6785"/>
              </w:tabs>
              <w:ind w:left="594"/>
              <w:rPr>
                <w:sz w:val="14"/>
              </w:rPr>
            </w:pPr>
            <w:r>
              <w:rPr>
                <w:b/>
                <w:w w:val="105"/>
                <w:sz w:val="14"/>
              </w:rPr>
              <w:t>品牌：</w:t>
            </w:r>
            <w:r>
              <w:rPr>
                <w:rFonts w:hint="eastAsia"/>
                <w:b/>
                <w:w w:val="105"/>
                <w:sz w:val="14"/>
                <w:lang w:val="en-US" w:eastAsia="zh-CN"/>
              </w:rPr>
              <w:t>{{brandName}}</w:t>
            </w:r>
            <w:r>
              <w:rPr>
                <w:w w:val="105"/>
                <w:sz w:val="14"/>
              </w:rPr>
              <w:tab/>
            </w:r>
            <w:r>
              <w:rPr>
                <w:b/>
                <w:w w:val="105"/>
                <w:sz w:val="14"/>
              </w:rPr>
              <w:t>订单编号：</w:t>
            </w:r>
            <w:r>
              <w:rPr>
                <w:rFonts w:hint="eastAsia"/>
                <w:b/>
                <w:w w:val="105"/>
                <w:sz w:val="14"/>
                <w:lang w:val="en-US" w:eastAsia="zh-CN"/>
              </w:rPr>
              <w:t>{{poCode}}</w:t>
            </w:r>
          </w:p>
          <w:p>
            <w:pPr>
              <w:pStyle w:val="6"/>
              <w:spacing w:before="132" w:line="362" w:lineRule="auto"/>
              <w:ind w:left="594" w:right="7282"/>
              <w:rPr>
                <w:rFonts w:hint="eastAsia"/>
                <w:b/>
                <w:w w:val="105"/>
                <w:sz w:val="14"/>
                <w:lang w:val="en-US" w:eastAsia="zh-CN"/>
              </w:rPr>
            </w:pPr>
            <w:r>
              <w:rPr>
                <w:b/>
                <w:w w:val="105"/>
                <w:sz w:val="14"/>
              </w:rPr>
              <w:t>甲方：</w:t>
            </w:r>
            <w:r>
              <w:rPr>
                <w:rFonts w:hint="eastAsia"/>
                <w:b/>
                <w:w w:val="105"/>
                <w:sz w:val="14"/>
                <w:lang w:val="en-US" w:eastAsia="zh-CN"/>
              </w:rPr>
              <w:t>{{financialBody}}</w:t>
            </w:r>
          </w:p>
          <w:p>
            <w:pPr>
              <w:pStyle w:val="6"/>
              <w:spacing w:before="132" w:line="362" w:lineRule="auto"/>
              <w:ind w:left="594" w:right="7282"/>
              <w:rPr>
                <w:sz w:val="14"/>
              </w:rPr>
            </w:pPr>
            <w:r>
              <w:rPr>
                <w:b/>
                <w:w w:val="105"/>
                <w:sz w:val="14"/>
              </w:rPr>
              <w:t>乙方：</w:t>
            </w:r>
            <w:r>
              <w:rPr>
                <w:rFonts w:hint="eastAsia"/>
                <w:b/>
                <w:w w:val="105"/>
                <w:sz w:val="14"/>
                <w:lang w:val="en-US" w:eastAsia="zh-CN"/>
              </w:rPr>
              <w:t>{{vendorName}}</w:t>
            </w:r>
          </w:p>
          <w:p>
            <w:pPr>
              <w:pStyle w:val="6"/>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pPr>
              <w:pStyle w:val="6"/>
              <w:numPr>
                <w:ilvl w:val="0"/>
                <w:numId w:val="1"/>
              </w:numPr>
              <w:spacing w:before="132" w:line="215" w:lineRule="exact"/>
              <w:rPr>
                <w:b/>
                <w:w w:val="105"/>
                <w:sz w:val="14"/>
              </w:rPr>
            </w:pPr>
            <w:r>
              <w:rPr>
                <w:b/>
                <w:w w:val="105"/>
                <w:sz w:val="14"/>
              </w:rPr>
              <w:t>产品信息：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092" w:type="dxa"/>
            <w:tcBorders>
              <w:top w:val="single" w:color="FFFFFF" w:sz="8" w:space="0"/>
              <w:left w:val="single" w:color="000000" w:sz="12" w:space="0"/>
              <w:bottom w:val="single" w:color="999999" w:sz="8" w:space="0"/>
            </w:tcBorders>
            <w:noWrap w:val="0"/>
            <w:vAlign w:val="top"/>
          </w:tcPr>
          <w:p>
            <w:pPr>
              <w:pStyle w:val="6"/>
              <w:spacing w:before="3"/>
              <w:ind w:left="0"/>
              <w:rPr>
                <w:rFonts w:ascii="Times New Roman"/>
                <w:sz w:val="14"/>
              </w:rPr>
            </w:pPr>
          </w:p>
          <w:p>
            <w:pPr>
              <w:pStyle w:val="6"/>
              <w:ind w:left="250" w:right="105"/>
              <w:jc w:val="center"/>
              <w:rPr>
                <w:b/>
                <w:sz w:val="11"/>
              </w:rPr>
            </w:pPr>
            <w:r>
              <w:rPr>
                <w:b/>
                <w:w w:val="105"/>
                <w:sz w:val="11"/>
              </w:rPr>
              <w:t>商品款号</w:t>
            </w:r>
          </w:p>
        </w:tc>
        <w:tc>
          <w:tcPr>
            <w:tcW w:w="1595"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747"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179" w:right="-29"/>
              <w:rPr>
                <w:b/>
                <w:sz w:val="11"/>
              </w:rPr>
            </w:pPr>
            <w:r>
              <w:rPr>
                <w:b/>
                <w:spacing w:val="1"/>
                <w:w w:val="105"/>
                <w:position w:val="2"/>
                <w:sz w:val="11"/>
              </w:rPr>
              <w:t xml:space="preserve">颜 色 </w:t>
            </w:r>
            <w:r>
              <w:rPr>
                <w:b/>
                <w:color w:val="808080"/>
                <w:w w:val="105"/>
                <w:sz w:val="11"/>
              </w:rPr>
              <w:t>|</w:t>
            </w:r>
          </w:p>
        </w:tc>
        <w:tc>
          <w:tcPr>
            <w:tcW w:w="683"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226" w:right="-29"/>
              <w:rPr>
                <w:b/>
                <w:sz w:val="11"/>
              </w:rPr>
            </w:pPr>
            <w:r>
              <w:rPr>
                <w:b/>
                <w:spacing w:val="4"/>
                <w:w w:val="105"/>
                <w:position w:val="2"/>
                <w:sz w:val="11"/>
              </w:rPr>
              <w:t xml:space="preserve">尺 码 </w:t>
            </w:r>
            <w:r>
              <w:rPr>
                <w:b/>
                <w:color w:val="808080"/>
                <w:w w:val="105"/>
                <w:sz w:val="11"/>
              </w:rPr>
              <w:t>|</w:t>
            </w:r>
          </w:p>
        </w:tc>
        <w:tc>
          <w:tcPr>
            <w:tcW w:w="780"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tabs>
                <w:tab w:val="left" w:pos="746"/>
              </w:tabs>
              <w:spacing w:before="1"/>
              <w:ind w:left="275" w:right="-29"/>
              <w:rPr>
                <w:b/>
                <w:sz w:val="11"/>
              </w:rPr>
            </w:pPr>
            <w:r>
              <w:rPr>
                <w:b/>
                <w:w w:val="105"/>
                <w:position w:val="2"/>
                <w:sz w:val="11"/>
              </w:rPr>
              <w:t>件数</w:t>
            </w:r>
            <w:r>
              <w:rPr>
                <w:b/>
                <w:w w:val="105"/>
                <w:position w:val="2"/>
                <w:sz w:val="11"/>
              </w:rPr>
              <w:tab/>
            </w:r>
            <w:r>
              <w:rPr>
                <w:b/>
                <w:color w:val="808080"/>
                <w:w w:val="105"/>
                <w:sz w:val="11"/>
              </w:rPr>
              <w:t>|</w:t>
            </w:r>
          </w:p>
        </w:tc>
        <w:tc>
          <w:tcPr>
            <w:tcW w:w="1072"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218" w:right="-29"/>
              <w:rPr>
                <w:b/>
                <w:sz w:val="11"/>
              </w:rPr>
            </w:pPr>
            <w:r>
              <w:rPr>
                <w:b/>
                <w:w w:val="105"/>
                <w:position w:val="2"/>
                <w:sz w:val="11"/>
              </w:rPr>
              <w:t>含税单价/</w:t>
            </w:r>
            <w:r>
              <w:rPr>
                <w:b/>
                <w:spacing w:val="8"/>
                <w:w w:val="105"/>
                <w:position w:val="2"/>
                <w:sz w:val="11"/>
              </w:rPr>
              <w:t xml:space="preserve">元 </w:t>
            </w:r>
            <w:r>
              <w:rPr>
                <w:b/>
                <w:color w:val="808080"/>
                <w:w w:val="105"/>
                <w:sz w:val="11"/>
              </w:rPr>
              <w:t>|</w:t>
            </w:r>
          </w:p>
        </w:tc>
        <w:tc>
          <w:tcPr>
            <w:tcW w:w="682"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109" w:right="-29"/>
              <w:jc w:val="center"/>
              <w:rPr>
                <w:b/>
                <w:sz w:val="11"/>
              </w:rPr>
            </w:pPr>
            <w:r>
              <w:rPr>
                <w:b/>
                <w:spacing w:val="1"/>
                <w:w w:val="105"/>
                <w:position w:val="2"/>
                <w:sz w:val="11"/>
              </w:rPr>
              <w:t xml:space="preserve">采购税率 </w:t>
            </w:r>
            <w:r>
              <w:rPr>
                <w:b/>
                <w:color w:val="808080"/>
                <w:w w:val="105"/>
                <w:sz w:val="11"/>
              </w:rPr>
              <w:t>|</w:t>
            </w:r>
          </w:p>
        </w:tc>
        <w:tc>
          <w:tcPr>
            <w:tcW w:w="682"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spacing w:before="1"/>
              <w:ind w:left="141" w:right="-29"/>
              <w:rPr>
                <w:b/>
                <w:sz w:val="11"/>
              </w:rPr>
            </w:pPr>
            <w:r>
              <w:rPr>
                <w:b/>
                <w:w w:val="105"/>
                <w:position w:val="2"/>
                <w:sz w:val="11"/>
              </w:rPr>
              <w:t>税额/</w:t>
            </w:r>
            <w:r>
              <w:rPr>
                <w:b/>
                <w:spacing w:val="2"/>
                <w:w w:val="105"/>
                <w:position w:val="2"/>
                <w:sz w:val="11"/>
              </w:rPr>
              <w:t xml:space="preserve">元 </w:t>
            </w:r>
            <w:r>
              <w:rPr>
                <w:b/>
                <w:color w:val="808080"/>
                <w:w w:val="105"/>
                <w:sz w:val="11"/>
              </w:rPr>
              <w:t>|</w:t>
            </w:r>
          </w:p>
        </w:tc>
        <w:tc>
          <w:tcPr>
            <w:tcW w:w="779" w:type="dxa"/>
            <w:tcBorders>
              <w:top w:val="single" w:color="FFFFFF" w:sz="8" w:space="0"/>
              <w:bottom w:val="single" w:color="999999" w:sz="8" w:space="0"/>
            </w:tcBorders>
            <w:noWrap w:val="0"/>
            <w:vAlign w:val="top"/>
          </w:tcPr>
          <w:p>
            <w:pPr>
              <w:pStyle w:val="6"/>
              <w:spacing w:before="67" w:line="160" w:lineRule="exact"/>
              <w:ind w:left="132"/>
              <w:rPr>
                <w:b/>
                <w:sz w:val="11"/>
              </w:rPr>
            </w:pPr>
            <w:r>
              <w:rPr>
                <w:b/>
                <w:w w:val="105"/>
                <w:sz w:val="11"/>
              </w:rPr>
              <w:t>价税合计/</w:t>
            </w:r>
          </w:p>
          <w:p>
            <w:pPr>
              <w:pStyle w:val="6"/>
              <w:tabs>
                <w:tab w:val="left" w:pos="748"/>
              </w:tabs>
              <w:spacing w:line="168" w:lineRule="auto"/>
              <w:ind w:left="335" w:right="-29"/>
              <w:rPr>
                <w:b/>
                <w:sz w:val="11"/>
              </w:rPr>
            </w:pPr>
            <w:r>
              <w:rPr>
                <w:b/>
                <w:w w:val="105"/>
                <w:position w:val="-5"/>
                <w:sz w:val="11"/>
              </w:rPr>
              <w:t>元</w:t>
            </w:r>
            <w:r>
              <w:rPr>
                <w:b/>
                <w:w w:val="105"/>
                <w:position w:val="-5"/>
                <w:sz w:val="11"/>
              </w:rPr>
              <w:tab/>
            </w:r>
            <w:r>
              <w:rPr>
                <w:b/>
                <w:color w:val="808080"/>
                <w:w w:val="105"/>
                <w:sz w:val="11"/>
              </w:rPr>
              <w:t>|</w:t>
            </w:r>
          </w:p>
        </w:tc>
        <w:tc>
          <w:tcPr>
            <w:tcW w:w="1315" w:type="dxa"/>
            <w:tcBorders>
              <w:top w:val="single" w:color="FFFFFF" w:sz="8" w:space="0"/>
              <w:bottom w:val="single" w:color="999999" w:sz="8" w:space="0"/>
            </w:tcBorders>
            <w:noWrap w:val="0"/>
            <w:vAlign w:val="top"/>
          </w:tcPr>
          <w:p>
            <w:pPr>
              <w:pStyle w:val="6"/>
              <w:spacing w:before="2"/>
              <w:ind w:left="0"/>
              <w:rPr>
                <w:rFonts w:ascii="Times New Roman"/>
                <w:sz w:val="14"/>
              </w:rPr>
            </w:pPr>
          </w:p>
          <w:p>
            <w:pPr>
              <w:pStyle w:val="6"/>
              <w:tabs>
                <w:tab w:val="left" w:pos="1285"/>
              </w:tabs>
              <w:spacing w:before="1"/>
              <w:ind w:left="311" w:right="-29"/>
              <w:rPr>
                <w:b/>
                <w:sz w:val="11"/>
              </w:rPr>
            </w:pPr>
            <w:r>
              <w:rPr>
                <w:b/>
                <w:w w:val="105"/>
                <w:position w:val="2"/>
                <w:sz w:val="11"/>
              </w:rPr>
              <w:t>合同初始交期</w:t>
            </w:r>
            <w:r>
              <w:rPr>
                <w:b/>
                <w:w w:val="105"/>
                <w:position w:val="2"/>
                <w:sz w:val="11"/>
              </w:rPr>
              <w:tab/>
            </w:r>
            <w:r>
              <w:rPr>
                <w:b/>
                <w:color w:val="808080"/>
                <w:spacing w:val="-11"/>
                <w:w w:val="105"/>
                <w:sz w:val="11"/>
              </w:rPr>
              <w:t>|</w:t>
            </w:r>
          </w:p>
        </w:tc>
        <w:tc>
          <w:tcPr>
            <w:tcW w:w="993" w:type="dxa"/>
            <w:tcBorders>
              <w:top w:val="single" w:color="FFFFFF" w:sz="8" w:space="0"/>
              <w:bottom w:val="single" w:color="999999" w:sz="8" w:space="0"/>
              <w:right w:val="single" w:color="FFFFFF" w:sz="12" w:space="0"/>
            </w:tcBorders>
            <w:noWrap w:val="0"/>
            <w:vAlign w:val="top"/>
          </w:tcPr>
          <w:p>
            <w:pPr>
              <w:pStyle w:val="6"/>
              <w:spacing w:before="3"/>
              <w:ind w:left="0"/>
              <w:rPr>
                <w:rFonts w:ascii="Times New Roman"/>
                <w:sz w:val="14"/>
              </w:rPr>
            </w:pPr>
          </w:p>
          <w:p>
            <w:pPr>
              <w:pStyle w:val="6"/>
              <w:ind w:left="142"/>
              <w:rPr>
                <w:b/>
                <w:sz w:val="11"/>
              </w:rPr>
            </w:pPr>
            <w:r>
              <w:rPr>
                <w:b/>
                <w:w w:val="105"/>
                <w:sz w:val="11"/>
              </w:rPr>
              <w:t>合同截至交期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8" w:space="0"/>
              <w:left w:val="single" w:color="999999" w:sz="12" w:space="0"/>
              <w:bottom w:val="single" w:color="999999" w:sz="4" w:space="0"/>
              <w:right w:val="single" w:color="999999" w:sz="4" w:space="0"/>
            </w:tcBorders>
            <w:noWrap w:val="0"/>
            <w:vAlign w:val="top"/>
          </w:tcPr>
          <w:p>
            <w:pPr>
              <w:pStyle w:val="6"/>
              <w:spacing w:before="76"/>
              <w:ind w:left="244" w:leftChars="0" w:right="98" w:rightChars="0"/>
              <w:jc w:val="center"/>
              <w:rPr>
                <w:sz w:val="11"/>
              </w:rPr>
            </w:pPr>
            <w:r>
              <w:rPr>
                <w:rFonts w:hint="eastAsia"/>
                <w:sz w:val="11"/>
                <w:lang w:val="en-US" w:eastAsia="zh-CN"/>
              </w:rPr>
              <w:t>{{$fe: tableData t.productCode</w:t>
            </w:r>
          </w:p>
        </w:tc>
        <w:tc>
          <w:tcPr>
            <w:tcW w:w="1595" w:type="dxa"/>
            <w:tcBorders>
              <w:top w:val="single" w:color="999999" w:sz="8" w:space="0"/>
              <w:left w:val="single" w:color="999999" w:sz="4" w:space="0"/>
              <w:bottom w:val="single" w:color="999999" w:sz="4" w:space="0"/>
              <w:right w:val="single" w:color="999999" w:sz="4" w:space="0"/>
            </w:tcBorders>
            <w:noWrap w:val="0"/>
            <w:vAlign w:val="top"/>
          </w:tcPr>
          <w:p>
            <w:pPr>
              <w:pStyle w:val="6"/>
              <w:spacing w:line="153" w:lineRule="exact"/>
              <w:ind w:left="133" w:leftChars="0" w:right="114" w:rightChars="0"/>
              <w:jc w:val="center"/>
              <w:rPr>
                <w:sz w:val="11"/>
              </w:rPr>
            </w:pPr>
            <w:r>
              <w:rPr>
                <w:rFonts w:hint="eastAsia"/>
                <w:sz w:val="11"/>
                <w:lang w:val="en-US" w:eastAsia="zh-CN"/>
              </w:rPr>
              <w:t>t.inventoryName</w:t>
            </w:r>
          </w:p>
        </w:tc>
        <w:tc>
          <w:tcPr>
            <w:tcW w:w="747"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sz w:val="11"/>
              </w:rPr>
            </w:pPr>
            <w:r>
              <w:rPr>
                <w:rFonts w:hint="eastAsia"/>
                <w:sz w:val="11"/>
                <w:lang w:val="en-US" w:eastAsia="zh-CN"/>
              </w:rPr>
              <w:t>t.color</w:t>
            </w:r>
          </w:p>
        </w:tc>
        <w:tc>
          <w:tcPr>
            <w:tcW w:w="683"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t.size</w:t>
            </w:r>
          </w:p>
        </w:tc>
        <w:tc>
          <w:tcPr>
            <w:tcW w:w="780"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t.quantity</w:t>
            </w:r>
          </w:p>
        </w:tc>
        <w:tc>
          <w:tcPr>
            <w:tcW w:w="1072"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t.taxUnitPrice</w:t>
            </w:r>
          </w:p>
        </w:tc>
        <w:tc>
          <w:tcPr>
            <w:tcW w:w="682"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t.taxRate</w:t>
            </w:r>
          </w:p>
        </w:tc>
        <w:tc>
          <w:tcPr>
            <w:tcW w:w="682"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t.taxMoney</w:t>
            </w:r>
          </w:p>
        </w:tc>
        <w:tc>
          <w:tcPr>
            <w:tcW w:w="779"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t.includedTaxMoney</w:t>
            </w:r>
          </w:p>
        </w:tc>
        <w:tc>
          <w:tcPr>
            <w:tcW w:w="1315" w:type="dxa"/>
            <w:tcBorders>
              <w:top w:val="single" w:color="999999" w:sz="8" w:space="0"/>
              <w:left w:val="single" w:color="999999" w:sz="4" w:space="0"/>
              <w:bottom w:val="single" w:color="999999" w:sz="4" w:space="0"/>
              <w:right w:val="single" w:color="999999" w:sz="4"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t.conStartDate</w:t>
            </w:r>
          </w:p>
        </w:tc>
        <w:tc>
          <w:tcPr>
            <w:tcW w:w="993" w:type="dxa"/>
            <w:tcBorders>
              <w:top w:val="single" w:color="999999" w:sz="8" w:space="0"/>
              <w:left w:val="single" w:color="999999" w:sz="4" w:space="0"/>
              <w:bottom w:val="single" w:color="999999" w:sz="4" w:space="0"/>
              <w:right w:val="single" w:color="FFFFFF" w:sz="12" w:space="0"/>
            </w:tcBorders>
            <w:noWrap w:val="0"/>
            <w:vAlign w:val="top"/>
          </w:tcPr>
          <w:p>
            <w:pPr>
              <w:pStyle w:val="6"/>
              <w:spacing w:before="76"/>
              <w:ind w:left="180" w:leftChars="0" w:right="0" w:rightChars="0"/>
              <w:rPr>
                <w:rFonts w:hint="eastAsia"/>
                <w:sz w:val="11"/>
                <w:lang w:val="en-US" w:eastAsia="zh-CN"/>
              </w:rPr>
            </w:pPr>
            <w:r>
              <w:rPr>
                <w:rFonts w:hint="eastAsia"/>
                <w:sz w:val="11"/>
                <w:lang w:val="en-US" w:eastAsia="zh-CN"/>
              </w:rPr>
              <w:t>t.conEndDate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4" w:space="0"/>
              <w:left w:val="single" w:color="999999" w:sz="12"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1595"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747"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683"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111" w:leftChars="0" w:right="0" w:rightChars="0"/>
              <w:rPr>
                <w:sz w:val="11"/>
              </w:rPr>
            </w:pPr>
            <w:r>
              <w:rPr>
                <w:w w:val="105"/>
                <w:sz w:val="11"/>
              </w:rPr>
              <w:t>件数合计</w:t>
            </w:r>
          </w:p>
        </w:tc>
        <w:tc>
          <w:tcPr>
            <w:tcW w:w="780"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292" w:leftChars="0" w:right="0" w:rightChars="0"/>
              <w:rPr>
                <w:sz w:val="11"/>
              </w:rPr>
            </w:pPr>
            <w:r>
              <w:rPr>
                <w:rFonts w:hint="eastAsia"/>
                <w:sz w:val="11"/>
                <w:lang w:val="en-US" w:eastAsia="zh-CN"/>
              </w:rPr>
              <w:t>{{totalQuantity}}</w:t>
            </w:r>
          </w:p>
        </w:tc>
        <w:tc>
          <w:tcPr>
            <w:tcW w:w="1072"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682" w:type="dxa"/>
            <w:tcBorders>
              <w:top w:val="single" w:color="999999" w:sz="4" w:space="0"/>
              <w:left w:val="single" w:color="999999" w:sz="4" w:space="0"/>
              <w:bottom w:val="single" w:color="999999" w:sz="8" w:space="0"/>
              <w:right w:val="single" w:color="999999" w:sz="4" w:space="0"/>
            </w:tcBorders>
            <w:noWrap w:val="0"/>
            <w:vAlign w:val="top"/>
          </w:tcPr>
          <w:p>
            <w:pPr>
              <w:pStyle w:val="6"/>
              <w:ind w:left="0" w:leftChars="0" w:right="0" w:rightChars="0"/>
              <w:rPr>
                <w:rFonts w:ascii="Times New Roman"/>
                <w:sz w:val="14"/>
              </w:rPr>
            </w:pPr>
          </w:p>
        </w:tc>
        <w:tc>
          <w:tcPr>
            <w:tcW w:w="682"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116" w:leftChars="0" w:right="0" w:rightChars="0"/>
              <w:rPr>
                <w:sz w:val="11"/>
              </w:rPr>
            </w:pPr>
            <w:r>
              <w:rPr>
                <w:w w:val="105"/>
                <w:sz w:val="11"/>
              </w:rPr>
              <w:t>金额统计</w:t>
            </w:r>
          </w:p>
        </w:tc>
        <w:tc>
          <w:tcPr>
            <w:tcW w:w="779"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0" w:leftChars="0" w:right="228" w:rightChars="0"/>
              <w:jc w:val="both"/>
              <w:rPr>
                <w:sz w:val="11"/>
              </w:rPr>
            </w:pPr>
            <w:r>
              <w:rPr>
                <w:rFonts w:hint="eastAsia"/>
                <w:sz w:val="11"/>
                <w:lang w:val="en-US" w:eastAsia="zh-CN"/>
              </w:rPr>
              <w:t>{{totalMoney}}</w:t>
            </w:r>
          </w:p>
        </w:tc>
        <w:tc>
          <w:tcPr>
            <w:tcW w:w="1315" w:type="dxa"/>
            <w:tcBorders>
              <w:top w:val="single" w:color="999999" w:sz="4" w:space="0"/>
              <w:left w:val="single" w:color="999999" w:sz="4" w:space="0"/>
              <w:bottom w:val="single" w:color="999999" w:sz="8" w:space="0"/>
              <w:right w:val="single" w:color="999999" w:sz="4" w:space="0"/>
            </w:tcBorders>
            <w:noWrap w:val="0"/>
            <w:vAlign w:val="top"/>
          </w:tcPr>
          <w:p>
            <w:pPr>
              <w:pStyle w:val="6"/>
              <w:spacing w:before="77"/>
              <w:ind w:left="105" w:leftChars="0" w:right="0" w:rightChars="0"/>
              <w:rPr>
                <w:sz w:val="11"/>
              </w:rPr>
            </w:pPr>
            <w:r>
              <w:rPr>
                <w:w w:val="105"/>
                <w:sz w:val="11"/>
              </w:rPr>
              <w:t>金额统计(人民币大写)</w:t>
            </w:r>
          </w:p>
        </w:tc>
        <w:tc>
          <w:tcPr>
            <w:tcW w:w="993" w:type="dxa"/>
            <w:tcBorders>
              <w:top w:val="single" w:color="999999" w:sz="4" w:space="0"/>
              <w:left w:val="single" w:color="999999" w:sz="4" w:space="0"/>
              <w:bottom w:val="single" w:color="999999" w:sz="8" w:space="0"/>
              <w:right w:val="single" w:color="FFFFFF" w:sz="12" w:space="0"/>
            </w:tcBorders>
            <w:noWrap w:val="0"/>
            <w:vAlign w:val="top"/>
          </w:tcPr>
          <w:p>
            <w:pPr>
              <w:pStyle w:val="6"/>
              <w:spacing w:line="152" w:lineRule="exact"/>
              <w:ind w:left="135" w:leftChars="0" w:right="103" w:rightChars="0"/>
              <w:jc w:val="center"/>
              <w:rPr>
                <w:sz w:val="11"/>
              </w:rPr>
            </w:pPr>
            <w:r>
              <w:rPr>
                <w:rFonts w:hint="eastAsia"/>
                <w:sz w:val="11"/>
                <w:lang w:val="en-US" w:eastAsia="zh-CN"/>
              </w:rPr>
              <w:t>{{chineseTypeMoney}}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0" w:type="dxa"/>
            <w:gridSpan w:val="11"/>
            <w:tcBorders>
              <w:top w:val="single" w:color="999999" w:sz="8" w:space="0"/>
            </w:tcBorders>
            <w:noWrap w:val="0"/>
            <w:vAlign w:val="top"/>
          </w:tcPr>
          <w:p>
            <w:pPr>
              <w:pStyle w:val="6"/>
              <w:spacing w:line="194" w:lineRule="exact"/>
              <w:rPr>
                <w:b/>
                <w:sz w:val="14"/>
              </w:rPr>
            </w:pPr>
            <w:r>
              <w:rPr>
                <w:b/>
                <w:w w:val="105"/>
                <w:sz w:val="14"/>
              </w:rPr>
              <w:t>二、 产品交期：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7" w:hRule="atLeast"/>
        </w:trPr>
        <w:tc>
          <w:tcPr>
            <w:tcW w:w="10420" w:type="dxa"/>
            <w:gridSpan w:val="11"/>
            <w:noWrap w:val="0"/>
            <w:vAlign w:val="top"/>
          </w:tcPr>
          <w:p>
            <w:pPr>
              <w:pStyle w:val="6"/>
              <w:spacing w:line="215" w:lineRule="exact"/>
              <w:rPr>
                <w:sz w:val="14"/>
              </w:rPr>
            </w:pPr>
            <w:r>
              <w:rPr>
                <w:w w:val="105"/>
                <w:sz w:val="14"/>
              </w:rPr>
              <w:t>1、乙方应按照本订购单第一条约定的交货期限按时交货。</w:t>
            </w:r>
          </w:p>
          <w:p>
            <w:pPr>
              <w:pStyle w:val="6"/>
              <w:spacing w:before="9" w:line="199" w:lineRule="auto"/>
              <w:ind w:right="75"/>
              <w:rPr>
                <w:sz w:val="14"/>
              </w:rPr>
            </w:pPr>
            <w:r>
              <w:rPr>
                <w:sz w:val="14"/>
              </w:rPr>
              <w:t>2、若乙方到货（即产品到达甲方指定地点）晚于本订购单约定期限，造成的甲方损失（包含但不限于拆单费、小礼物、快递包邮费等）</w:t>
            </w:r>
            <w:r>
              <w:rPr>
                <w:spacing w:val="-2"/>
                <w:sz w:val="14"/>
              </w:rPr>
              <w:t xml:space="preserve">由乙方承担，甲方有权从              </w:t>
            </w:r>
            <w:r>
              <w:rPr>
                <w:sz w:val="14"/>
              </w:rPr>
              <w:t>应付给乙方的货款中扣除该部分赔偿费用；若乙方到货时间晚于本订购单约定7天（含）</w:t>
            </w:r>
            <w:r>
              <w:rPr>
                <w:spacing w:val="-1"/>
                <w:sz w:val="14"/>
              </w:rPr>
              <w:t>以上，乙方除应当赔偿甲方损失外，乙方还须向甲方支付本订购单第一条</w:t>
            </w:r>
          </w:p>
          <w:p>
            <w:pPr>
              <w:pStyle w:val="6"/>
              <w:spacing w:line="185" w:lineRule="exact"/>
              <w:rPr>
                <w:sz w:val="14"/>
              </w:rPr>
            </w:pPr>
            <w:r>
              <w:rPr>
                <w:w w:val="105"/>
                <w:sz w:val="14"/>
              </w:rPr>
              <w:t>约定的预计含税金额20%的违约金，该违约金不足以弥补甲方损失的，乙方应补足，同时甲方有权单方面终止本订购单。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3" w:hRule="atLeast"/>
        </w:trPr>
        <w:tc>
          <w:tcPr>
            <w:tcW w:w="10420" w:type="dxa"/>
            <w:gridSpan w:val="11"/>
            <w:noWrap w:val="0"/>
            <w:vAlign w:val="top"/>
          </w:tcPr>
          <w:p>
            <w:pPr>
              <w:pStyle w:val="6"/>
              <w:spacing w:line="215" w:lineRule="exact"/>
              <w:rPr>
                <w:b/>
                <w:sz w:val="14"/>
              </w:rPr>
            </w:pPr>
            <w:r>
              <w:rPr>
                <w:b/>
                <w:w w:val="105"/>
                <w:sz w:val="14"/>
              </w:rPr>
              <w:t>三、产品验收及质量违约责任：</w:t>
            </w:r>
          </w:p>
          <w:p>
            <w:pPr>
              <w:pStyle w:val="6"/>
              <w:spacing w:line="215" w:lineRule="exact"/>
              <w:rPr>
                <w:sz w:val="14"/>
              </w:rPr>
            </w:pPr>
            <w:r>
              <w:rPr>
                <w:w w:val="105"/>
                <w:sz w:val="14"/>
              </w:rPr>
              <w:t>1、验收</w:t>
            </w:r>
          </w:p>
          <w:p>
            <w:pPr>
              <w:pStyle w:val="6"/>
              <w:numPr>
                <w:ilvl w:val="0"/>
                <w:numId w:val="2"/>
              </w:numPr>
              <w:tabs>
                <w:tab w:val="left" w:pos="389"/>
              </w:tabs>
              <w:spacing w:before="9" w:after="0" w:line="199" w:lineRule="auto"/>
              <w:ind w:left="9" w:right="31"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、同意折价接受该批货物，并 按照该批次货物含税单价的折扣价</w:t>
            </w:r>
            <w:r>
              <w:rPr>
                <w:spacing w:val="-2"/>
                <w:sz w:val="14"/>
              </w:rPr>
              <w:t>结算货款（双方另行签订书面补充协议确定折扣比例）；2、甲方有权拒收并要求乙方退还        已收取的全部费用，且乙方须按照该批次不合格产品货款总额的两倍向</w:t>
            </w:r>
            <w:r>
              <w:rPr>
                <w:w w:val="105"/>
                <w:sz w:val="14"/>
              </w:rPr>
              <w:t>甲方支付违约金；3</w:t>
            </w:r>
            <w:r>
              <w:rPr>
                <w:spacing w:val="-1"/>
                <w:w w:val="105"/>
                <w:sz w:val="14"/>
              </w:rPr>
              <w:t>、甲方有权拒收并要求乙方重新补 货，由此产生的一切费用和造成的全部损失由乙方承担。</w:t>
            </w:r>
          </w:p>
          <w:p>
            <w:pPr>
              <w:pStyle w:val="6"/>
              <w:numPr>
                <w:ilvl w:val="0"/>
                <w:numId w:val="2"/>
              </w:numPr>
              <w:tabs>
                <w:tab w:val="left" w:pos="389"/>
              </w:tabs>
              <w:spacing w:before="1" w:after="0" w:line="199" w:lineRule="auto"/>
              <w:ind w:left="9" w:right="31" w:firstLine="0"/>
              <w:jc w:val="both"/>
              <w:rPr>
                <w:sz w:val="14"/>
              </w:rPr>
            </w:pPr>
            <w:r>
              <w:rPr>
                <w:spacing w:val="-1"/>
                <w:sz w:val="14"/>
              </w:rPr>
              <w:t>如验收合格产品数量不符合订单要求的，甲方有权选择：按实际验收合格数量结算货款；或者要求乙方补足欠量或者        退回多收部分产品，由此产生的一切费</w:t>
            </w:r>
            <w:r>
              <w:rPr>
                <w:w w:val="105"/>
                <w:sz w:val="14"/>
              </w:rPr>
              <w:t>用和造成的全部损失由乙方承担。</w:t>
            </w:r>
          </w:p>
          <w:p>
            <w:pPr>
              <w:pStyle w:val="6"/>
              <w:spacing w:before="1" w:line="199" w:lineRule="auto"/>
              <w:ind w:right="31"/>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        间出现不符合国家强制性要求、产品成</w:t>
            </w:r>
            <w:r>
              <w:rPr>
                <w:w w:val="105"/>
                <w:sz w:val="14"/>
              </w:rPr>
              <w:t>分含量与实际不符的质量问题等）</w:t>
            </w:r>
            <w:r>
              <w:rPr>
                <w:spacing w:val="-1"/>
                <w:w w:val="105"/>
                <w:sz w:val="14"/>
              </w:rPr>
              <w:t>导致的争议纠纷，乙方应积极进行协调、处理并 承担包括但不限于主管机关的处罚责任、电商平台的投诉、对消费者的赔偿责</w:t>
            </w:r>
            <w:r>
              <w:rPr>
                <w:spacing w:val="-2"/>
                <w:w w:val="105"/>
                <w:sz w:val="14"/>
              </w:rPr>
              <w:t>任、出面澄清并承担产品检测费用，同时， 甲方有权终止本订购单，要求乙方退还已收取的全部费用，且乙方须向甲方支付本订购单总金额的两倍作为违约金并</w:t>
            </w:r>
          </w:p>
          <w:p>
            <w:pPr>
              <w:pStyle w:val="6"/>
              <w:spacing w:line="185" w:lineRule="exact"/>
              <w:rPr>
                <w:sz w:val="14"/>
              </w:rPr>
            </w:pPr>
            <w:r>
              <w:rPr>
                <w:w w:val="105"/>
                <w:sz w:val="14"/>
              </w:rPr>
              <w:t>赔偿甲方全部损失。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6" w:hRule="atLeast"/>
        </w:trPr>
        <w:tc>
          <w:tcPr>
            <w:tcW w:w="10420" w:type="dxa"/>
            <w:gridSpan w:val="11"/>
            <w:noWrap w:val="0"/>
            <w:vAlign w:val="top"/>
          </w:tcPr>
          <w:p>
            <w:pPr>
              <w:pStyle w:val="6"/>
              <w:spacing w:line="215" w:lineRule="exact"/>
              <w:rPr>
                <w:b/>
                <w:sz w:val="14"/>
              </w:rPr>
            </w:pPr>
            <w:r>
              <w:rPr>
                <w:b/>
                <w:w w:val="105"/>
                <w:sz w:val="14"/>
              </w:rPr>
              <w:t>四、产品库存</w:t>
            </w:r>
          </w:p>
          <w:p>
            <w:pPr>
              <w:pStyle w:val="6"/>
              <w:spacing w:before="9" w:line="199" w:lineRule="auto"/>
              <w:ind w:right="14"/>
              <w:rPr>
                <w:sz w:val="14"/>
              </w:rPr>
            </w:pPr>
            <w:r>
              <w:rPr>
                <w:w w:val="105"/>
                <w:sz w:val="14"/>
              </w:rPr>
              <w:t>1、甲方应当在本订购单生效后</w:t>
            </w:r>
            <w:r>
              <w:rPr>
                <w:spacing w:val="14"/>
                <w:w w:val="105"/>
                <w:sz w:val="14"/>
                <w:u w:val="single"/>
              </w:rPr>
              <w:t xml:space="preserve">  </w:t>
            </w:r>
            <w:r>
              <w:rPr>
                <w:w w:val="105"/>
                <w:sz w:val="14"/>
              </w:rPr>
              <w:t>天内以书面或者微信或者电子邮件等方式向乙方告知甲方的产品需求，乙方应当至少产品上架前5天向甲方如实告知产品真实的</w:t>
            </w:r>
            <w:r>
              <w:rPr>
                <w:sz w:val="14"/>
              </w:rPr>
              <w:t>补单周期及补单情况（包括但不限于乙方能否在产品上架前进行补单以及能够补单的产品数量等），</w:t>
            </w:r>
            <w:r>
              <w:rPr>
                <w:spacing w:val="-1"/>
                <w:sz w:val="14"/>
              </w:rPr>
              <w:t xml:space="preserve">如乙方未按本订购单约定及时告知或者虚假告知甲方产品的补              </w:t>
            </w:r>
            <w:r>
              <w:rPr>
                <w:w w:val="105"/>
                <w:sz w:val="14"/>
              </w:rPr>
              <w:t>单周期及补单情况的，乙方须承担本订购单第一条约定的预计含税金额20%的违约金，除该违约金外，乙方还须赔偿由此给甲方造成的所有损失。                     2、本订购单项下甲乙双方之间的书面文件、微信、电子邮件等作为本订购单的附件，与本订购单具有同等法律效力。</w:t>
            </w:r>
          </w:p>
          <w:p>
            <w:pPr>
              <w:pStyle w:val="6"/>
              <w:spacing w:line="185" w:lineRule="exact"/>
              <w:rPr>
                <w:sz w:val="14"/>
              </w:rPr>
            </w:pPr>
            <w:r>
              <w:rPr>
                <w:w w:val="105"/>
                <w:sz w:val="14"/>
              </w:rPr>
              <w:t>3、甲乙双方协商一致同意，由乙方承担本订购单有效期产生的所有产品库存，包括但不限于在本订购单有效期内产生的产品售后、退包、次品等库存。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1" w:hRule="atLeast"/>
        </w:trPr>
        <w:tc>
          <w:tcPr>
            <w:tcW w:w="10420" w:type="dxa"/>
            <w:gridSpan w:val="11"/>
            <w:noWrap w:val="0"/>
            <w:vAlign w:val="top"/>
          </w:tcPr>
          <w:p>
            <w:pPr>
              <w:pStyle w:val="6"/>
              <w:spacing w:before="10" w:line="199" w:lineRule="auto"/>
              <w:ind w:right="75"/>
              <w:rPr>
                <w:sz w:val="14"/>
              </w:rPr>
            </w:pPr>
            <w:r>
              <w:rPr>
                <w:b/>
                <w:w w:val="105"/>
                <w:sz w:val="14"/>
              </w:rPr>
              <w:t xml:space="preserve">五、订购单总金额及付款方式                                                                                                                                                                                               </w:t>
            </w:r>
            <w:r>
              <w:rPr>
                <w:sz w:val="14"/>
              </w:rPr>
              <w:t>1</w:t>
            </w:r>
            <w:r>
              <w:rPr>
                <w:spacing w:val="-1"/>
                <w:sz w:val="14"/>
              </w:rPr>
              <w:t xml:space="preserve">、订购单总金额：本订购单总金额为本订购单约定含税单价乘以甲方实际到货验收合格的数量。该金额为甲方在本订购单下向乙方支付的全部费用，其中已包括              </w:t>
            </w:r>
            <w:r>
              <w:rPr>
                <w:w w:val="105"/>
                <w:sz w:val="14"/>
              </w:rPr>
              <w:t>所有税费、运输、人工等费用，除此外甲方不再向乙方支付其它任何费用。</w:t>
            </w:r>
          </w:p>
          <w:p>
            <w:pPr>
              <w:pStyle w:val="6"/>
              <w:spacing w:before="1" w:line="199" w:lineRule="auto"/>
              <w:ind w:right="-15"/>
              <w:jc w:val="both"/>
              <w:rPr>
                <w:sz w:val="14"/>
              </w:rPr>
            </w:pPr>
            <w:r>
              <w:rPr>
                <w:sz w:val="14"/>
              </w:rPr>
              <w:t>2、付款方式：甲方在本合同签署后向乙方支付本订购单预计含税金额的</w:t>
            </w:r>
            <w:r>
              <w:rPr>
                <w:rFonts w:hint="eastAsia"/>
                <w:sz w:val="14"/>
                <w:lang w:val="en-US" w:eastAsia="zh-CN"/>
              </w:rPr>
              <w:t>{{advanceStartPercent}}</w:t>
            </w:r>
            <w:r>
              <w:rPr>
                <w:sz w:val="14"/>
              </w:rPr>
              <w:t>%作为预付货款；产品经甲方到货验收合格且收到乙方开具的相应金额的增值税专用</w:t>
            </w:r>
            <w:r>
              <w:rPr>
                <w:w w:val="105"/>
                <w:sz w:val="14"/>
              </w:rPr>
              <w:t>发票后</w:t>
            </w:r>
            <w:r>
              <w:rPr>
                <w:rFonts w:hint="eastAsia"/>
                <w:sz w:val="14"/>
                <w:lang w:val="en-US" w:eastAsia="zh-CN"/>
              </w:rPr>
              <w:t>{{advanceStartDay}}</w:t>
            </w:r>
            <w:r>
              <w:rPr>
                <w:w w:val="105"/>
                <w:sz w:val="14"/>
              </w:rPr>
              <w:t>天内，甲方向乙方支付本订购单预计含税金额的</w:t>
            </w:r>
            <w:r>
              <w:rPr>
                <w:rFonts w:hint="eastAsia"/>
                <w:sz w:val="14"/>
                <w:lang w:val="en-US" w:eastAsia="zh-CN"/>
              </w:rPr>
              <w:t>{{advanceEndPercent}}</w:t>
            </w:r>
            <w:r>
              <w:rPr>
                <w:w w:val="105"/>
                <w:sz w:val="14"/>
              </w:rPr>
              <w:t>%，产品经甲方到货验收合格</w:t>
            </w:r>
            <w:r>
              <w:rPr>
                <w:rFonts w:hint="eastAsia"/>
                <w:sz w:val="14"/>
                <w:lang w:val="en-US" w:eastAsia="zh-CN"/>
              </w:rPr>
              <w:t>{{advanceEndDay}}</w:t>
            </w:r>
            <w:r>
              <w:rPr>
                <w:w w:val="105"/>
                <w:sz w:val="14"/>
              </w:rPr>
              <w:t>天后且收到乙方开具的相应金额的合法有效的增值税专用发票后支付剩余尾款（剩余尾款=订购单总金额—甲方已支付的货款—本订购单约定含税单价x库存数量—乙方赔偿给甲方的小礼物费用和快递包邮费用）。</w:t>
            </w:r>
          </w:p>
          <w:p>
            <w:pPr>
              <w:pStyle w:val="6"/>
              <w:spacing w:line="185" w:lineRule="exact"/>
              <w:rPr>
                <w:sz w:val="14"/>
              </w:rPr>
            </w:pPr>
            <w:r>
              <w:rPr>
                <w:w w:val="105"/>
                <w:sz w:val="14"/>
              </w:rPr>
              <w:t>3、发票税点为：</w:t>
            </w:r>
            <w:r>
              <w:rPr>
                <w:rFonts w:hint="eastAsia"/>
                <w:w w:val="105"/>
                <w:sz w:val="14"/>
                <w:lang w:val="en-US" w:eastAsia="zh-CN"/>
              </w:rPr>
              <w:t>{{taxPoint}}</w:t>
            </w:r>
            <w:r>
              <w:rPr>
                <w:w w:val="105"/>
                <w:sz w:val="14"/>
              </w:rPr>
              <w:t>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5" w:hRule="atLeast"/>
        </w:trPr>
        <w:tc>
          <w:tcPr>
            <w:tcW w:w="10420" w:type="dxa"/>
            <w:gridSpan w:val="11"/>
            <w:noWrap w:val="0"/>
            <w:vAlign w:val="top"/>
          </w:tcPr>
          <w:p>
            <w:pPr>
              <w:pStyle w:val="6"/>
              <w:spacing w:line="215" w:lineRule="exact"/>
              <w:rPr>
                <w:b/>
                <w:sz w:val="14"/>
              </w:rPr>
            </w:pPr>
            <w:r>
              <w:rPr>
                <w:b/>
                <w:w w:val="105"/>
                <w:sz w:val="14"/>
              </w:rPr>
              <w:t>六、乙方保证</w:t>
            </w:r>
          </w:p>
          <w:p>
            <w:pPr>
              <w:pStyle w:val="6"/>
              <w:spacing w:line="214" w:lineRule="exact"/>
              <w:rPr>
                <w:sz w:val="14"/>
              </w:rPr>
            </w:pPr>
            <w:r>
              <w:rPr>
                <w:w w:val="105"/>
                <w:sz w:val="14"/>
              </w:rPr>
              <w:t>1、乙方保证乙方具有合法的经营资质并在本订购单签订时向甲方提交真实合法有效的营业执照复印件作为本订购单的附件；</w:t>
            </w:r>
          </w:p>
          <w:p>
            <w:pPr>
              <w:pStyle w:val="6"/>
              <w:spacing w:before="9" w:line="199" w:lineRule="auto"/>
              <w:ind w:right="49"/>
              <w:rPr>
                <w:sz w:val="14"/>
              </w:rPr>
            </w:pPr>
            <w:r>
              <w:rPr>
                <w:sz w:val="14"/>
              </w:rPr>
              <w:t>2、乙方保证乙方及乙方员工在本订购单生效后60天内不向任何第三方（包括但不限于甲方指定竞品单位等）</w:t>
            </w:r>
            <w:r>
              <w:rPr>
                <w:spacing w:val="-1"/>
                <w:sz w:val="14"/>
              </w:rPr>
              <w:t xml:space="preserve">以任何方式提供本订购单约定的服装款式，包括但不              </w:t>
            </w:r>
            <w:r>
              <w:rPr>
                <w:sz w:val="14"/>
              </w:rPr>
              <w:t>限于乙方及乙方员工自行售卖本订购单约定的服装款式或者授权第三方生产或者售卖本订购单约定的服装款式等，否则甲方有权要求乙方支付100</w:t>
            </w:r>
            <w:r>
              <w:rPr>
                <w:spacing w:val="-3"/>
                <w:sz w:val="14"/>
              </w:rPr>
              <w:t xml:space="preserve">万元违约金，该             </w:t>
            </w:r>
            <w:r>
              <w:rPr>
                <w:w w:val="105"/>
                <w:sz w:val="14"/>
              </w:rPr>
              <w:t xml:space="preserve">违约金不足以弥补甲方损失的，乙方应补足。                                                                                                                                                                         </w:t>
            </w:r>
            <w:r>
              <w:rPr>
                <w:sz w:val="14"/>
              </w:rPr>
              <w:t>3、乙方及乙方员工保证对在履行本订购单期间所知晓的甲方商业秘密（包括但不限于甲方知识产权、本订购单合作服装款式、补单信息等）进行严格保密，乙方        及乙方员工不得以任何方式泄露甲方商业秘密，否则甲方有权要求乙方支付100</w:t>
            </w:r>
            <w:r>
              <w:rPr>
                <w:spacing w:val="-1"/>
                <w:sz w:val="14"/>
              </w:rPr>
              <w:t>万元违约金，该违约金不足以弥补甲方损失的，乙方应补足。本条保密条款的期限</w:t>
            </w:r>
          </w:p>
          <w:p>
            <w:pPr>
              <w:pStyle w:val="6"/>
              <w:spacing w:line="186" w:lineRule="exact"/>
              <w:rPr>
                <w:sz w:val="14"/>
              </w:rPr>
            </w:pPr>
            <w:r>
              <w:rPr>
                <w:w w:val="105"/>
                <w:sz w:val="14"/>
              </w:rPr>
              <w:t>为长期有效，乙方及乙方员工的保密义务不随着本订购单的终止而解除。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20" w:type="dxa"/>
            <w:gridSpan w:val="11"/>
            <w:tcBorders>
              <w:bottom w:val="nil"/>
            </w:tcBorders>
            <w:noWrap w:val="0"/>
            <w:vAlign w:val="top"/>
          </w:tcPr>
          <w:p>
            <w:pPr>
              <w:pStyle w:val="6"/>
              <w:spacing w:line="215" w:lineRule="exact"/>
              <w:rPr>
                <w:b/>
                <w:sz w:val="14"/>
              </w:rPr>
            </w:pPr>
            <w:r>
              <w:rPr>
                <w:b/>
                <w:w w:val="105"/>
                <w:sz w:val="14"/>
              </w:rPr>
              <w:t>七、交货地点及方式</w:t>
            </w:r>
          </w:p>
          <w:p>
            <w:pPr>
              <w:pStyle w:val="6"/>
              <w:spacing w:line="155" w:lineRule="exact"/>
              <w:rPr>
                <w:sz w:val="14"/>
              </w:rPr>
            </w:pPr>
            <w:r>
              <w:rPr>
                <w:w w:val="105"/>
                <w:sz w:val="14"/>
              </w:rPr>
              <w:t>（1）乙方送货至：</w:t>
            </w:r>
            <w:r>
              <w:rPr>
                <w:rFonts w:hint="eastAsia"/>
                <w:w w:val="105"/>
                <w:sz w:val="14"/>
                <w:lang w:val="en-US" w:eastAsia="zh-CN"/>
              </w:rPr>
              <w:t xml:space="preserve">{{receivingAddress}} </w:t>
            </w:r>
            <w:r>
              <w:rPr>
                <w:spacing w:val="-1"/>
                <w:w w:val="105"/>
                <w:sz w:val="14"/>
              </w:rPr>
              <w:t>联系人：</w:t>
            </w:r>
            <w:r>
              <w:rPr>
                <w:rFonts w:hint="eastAsia"/>
                <w:spacing w:val="-1"/>
                <w:w w:val="105"/>
                <w:sz w:val="14"/>
                <w:lang w:val="en-US" w:eastAsia="zh-CN"/>
              </w:rPr>
              <w:t>{{contactPerson}}</w:t>
            </w:r>
            <w:r>
              <w:rPr>
                <w:spacing w:val="5"/>
                <w:w w:val="105"/>
                <w:sz w:val="14"/>
              </w:rPr>
              <w:t xml:space="preserve"> 联系电话：</w:t>
            </w:r>
            <w:r>
              <w:rPr>
                <w:rFonts w:hint="eastAsia"/>
                <w:spacing w:val="5"/>
                <w:w w:val="105"/>
                <w:sz w:val="14"/>
                <w:lang w:val="en-US" w:eastAsia="zh-CN"/>
              </w:rPr>
              <w:t>{{contactPhone}}</w:t>
            </w:r>
            <w:r>
              <w:rPr>
                <w:w w:val="105"/>
                <w:sz w:val="14"/>
              </w:rPr>
              <w:t xml:space="preserve"> ，并承担运费；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4" w:hRule="atLeast"/>
        </w:trPr>
        <w:tc>
          <w:tcPr>
            <w:tcW w:w="2687" w:type="dxa"/>
            <w:gridSpan w:val="2"/>
            <w:tcBorders>
              <w:right w:val="nil"/>
            </w:tcBorders>
            <w:noWrap w:val="0"/>
            <w:vAlign w:val="top"/>
          </w:tcPr>
          <w:p>
            <w:pPr>
              <w:pStyle w:val="6"/>
              <w:ind w:left="0"/>
              <w:rPr>
                <w:rFonts w:ascii="Times New Roman"/>
                <w:sz w:val="14"/>
              </w:rPr>
            </w:pPr>
          </w:p>
        </w:tc>
        <w:tc>
          <w:tcPr>
            <w:tcW w:w="7733" w:type="dxa"/>
            <w:gridSpan w:val="9"/>
            <w:tcBorders>
              <w:top w:val="nil"/>
              <w:left w:val="nil"/>
            </w:tcBorders>
            <w:noWrap w:val="0"/>
            <w:vAlign w:val="top"/>
          </w:tcPr>
          <w:p>
            <w:pPr>
              <w:pStyle w:val="6"/>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3" w:hRule="atLeast"/>
        </w:trPr>
        <w:tc>
          <w:tcPr>
            <w:tcW w:w="10420" w:type="dxa"/>
            <w:gridSpan w:val="11"/>
            <w:noWrap w:val="0"/>
            <w:vAlign w:val="top"/>
          </w:tcPr>
          <w:p>
            <w:pPr>
              <w:pStyle w:val="6"/>
              <w:spacing w:line="215" w:lineRule="exact"/>
              <w:rPr>
                <w:b/>
                <w:sz w:val="14"/>
              </w:rPr>
            </w:pPr>
            <w:r>
              <w:rPr>
                <w:b/>
                <w:w w:val="105"/>
                <w:sz w:val="14"/>
              </w:rPr>
              <w:t>八、包装要求:</w:t>
            </w:r>
          </w:p>
          <w:p>
            <w:pPr>
              <w:pStyle w:val="6"/>
              <w:spacing w:before="9" w:line="199" w:lineRule="auto"/>
              <w:ind w:right="-15"/>
              <w:rPr>
                <w:sz w:val="14"/>
              </w:rPr>
            </w:pPr>
            <w:r>
              <w:rPr>
                <w:sz w:val="14"/>
              </w:rPr>
              <w:t>1、按工艺要求单件包装，合格证、条形码、尺寸要求与服装一致，若出现乱码根据严重程度，按每件1-2</w:t>
            </w:r>
            <w:r>
              <w:rPr>
                <w:spacing w:val="-1"/>
                <w:sz w:val="14"/>
              </w:rPr>
              <w:t xml:space="preserve">元标准从应付乙方货款中扣除，作为对甲方人工费损失补           </w:t>
            </w:r>
            <w:r>
              <w:rPr>
                <w:spacing w:val="9"/>
                <w:sz w:val="14"/>
              </w:rPr>
              <w:t xml:space="preserve"> </w:t>
            </w:r>
            <w:r>
              <w:rPr>
                <w:w w:val="105"/>
                <w:sz w:val="14"/>
              </w:rPr>
              <w:t>偿。</w:t>
            </w:r>
          </w:p>
          <w:p>
            <w:pPr>
              <w:pStyle w:val="6"/>
              <w:spacing w:line="227" w:lineRule="exact"/>
              <w:rPr>
                <w:sz w:val="14"/>
              </w:rPr>
            </w:pPr>
            <w:r>
              <w:rPr>
                <w:w w:val="105"/>
                <w:sz w:val="14"/>
              </w:rPr>
              <w:t>2、</w:t>
            </w:r>
            <w:r>
              <w:rPr>
                <w:b/>
                <w:w w:val="105"/>
                <w:sz w:val="14"/>
              </w:rPr>
              <w:t>包装方式：</w:t>
            </w:r>
            <w:r>
              <w:rPr>
                <w:w w:val="105"/>
                <w:sz w:val="14"/>
              </w:rPr>
              <w:t>□裸装;□非裸装;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6" w:hRule="atLeast"/>
        </w:trPr>
        <w:tc>
          <w:tcPr>
            <w:tcW w:w="10420" w:type="dxa"/>
            <w:gridSpan w:val="11"/>
            <w:tcBorders>
              <w:bottom w:val="nil"/>
            </w:tcBorders>
            <w:noWrap w:val="0"/>
            <w:vAlign w:val="top"/>
          </w:tcPr>
          <w:p>
            <w:pPr>
              <w:pStyle w:val="6"/>
              <w:spacing w:before="154"/>
              <w:rPr>
                <w:sz w:val="14"/>
              </w:rPr>
            </w:pPr>
            <w:r>
              <w:rPr>
                <w:b/>
                <w:w w:val="105"/>
                <w:sz w:val="14"/>
              </w:rPr>
              <w:t>九、收货方式：</w:t>
            </w:r>
            <w:r>
              <w:rPr>
                <w:w w:val="105"/>
                <w:sz w:val="14"/>
              </w:rPr>
              <w:t>乙方提供装箱单一式两份，标注各项说明。</w:t>
            </w:r>
          </w:p>
        </w:tc>
      </w:tr>
    </w:tbl>
    <w:p>
      <w:pPr>
        <w:rPr>
          <w:sz w:val="2"/>
          <w:szCs w:val="2"/>
        </w:rPr>
      </w:pPr>
      <w:r>
        <mc:AlternateContent>
          <mc:Choice Requires="wps">
            <w:drawing>
              <wp:anchor distT="0" distB="0" distL="114300" distR="114300" simplePos="0" relativeHeight="251659264" behindDoc="1" locked="0" layoutInCell="1" allowOverlap="1">
                <wp:simplePos x="0" y="0"/>
                <wp:positionH relativeFrom="page">
                  <wp:posOffset>3426460</wp:posOffset>
                </wp:positionH>
                <wp:positionV relativeFrom="page">
                  <wp:posOffset>7268210</wp:posOffset>
                </wp:positionV>
                <wp:extent cx="163830" cy="0"/>
                <wp:effectExtent l="0" t="0" r="0" b="0"/>
                <wp:wrapNone/>
                <wp:docPr id="1" name="直线 2"/>
                <wp:cNvGraphicFramePr/>
                <a:graphic xmlns:a="http://schemas.openxmlformats.org/drawingml/2006/main">
                  <a:graphicData uri="http://schemas.microsoft.com/office/word/2010/wordprocessingShape">
                    <wps:wsp>
                      <wps:cNvCnPr/>
                      <wps:spPr>
                        <a:xfrm>
                          <a:off x="0" y="0"/>
                          <a:ext cx="163830"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69.8pt;margin-top:572.3pt;height:0pt;width:12.9pt;mso-position-horizontal-relative:page;mso-position-vertical-relative:page;z-index:-251657216;mso-width-relative:page;mso-height-relative:page;" filled="f" stroked="t" coordsize="21600,21600" o:gfxdata="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J7qftcA&#10;AAANAQAADwAAAAAAAAABACAAAAAiAAAAZHJzL2Rvd25yZXYueG1sUEsBAhQAFAAAAAgAh07iQKK7&#10;0NnnAQAA2gMAAA4AAAAAAAAAAQAgAAAAJgEAAGRycy9lMm9Eb2MueG1sUEsFBgAAAAAGAAYAWQEA&#10;AH8FA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730250</wp:posOffset>
                </wp:positionH>
                <wp:positionV relativeFrom="page">
                  <wp:posOffset>7404100</wp:posOffset>
                </wp:positionV>
                <wp:extent cx="135890" cy="0"/>
                <wp:effectExtent l="0" t="0" r="0" b="0"/>
                <wp:wrapNone/>
                <wp:docPr id="2" name="直线 3"/>
                <wp:cNvGraphicFramePr/>
                <a:graphic xmlns:a="http://schemas.openxmlformats.org/drawingml/2006/main">
                  <a:graphicData uri="http://schemas.microsoft.com/office/word/2010/wordprocessingShape">
                    <wps:wsp>
                      <wps:cNvCnPr/>
                      <wps:spPr>
                        <a:xfrm>
                          <a:off x="0" y="0"/>
                          <a:ext cx="135890"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57.5pt;margin-top:583pt;height:0pt;width:10.7pt;mso-position-horizontal-relative:page;mso-position-vertical-relative:page;z-index:-251656192;mso-width-relative:page;mso-height-relative:page;" filled="f" stroked="t" coordsize="21600,21600" o:gfxdata="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uXvf9QAAAAN&#10;AQAADwAAAAAAAAABACAAAAAiAAAAZHJzL2Rvd25yZXYueG1sUEsBAhQAFAAAAAgAh07iQCKdB9vn&#10;AQAA2gMAAA4AAAAAAAAAAQAgAAAAIwEAAGRycy9lMm9Eb2MueG1sUEsFBgAAAAAGAAYAWQEAAHwF&#10;A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4180205</wp:posOffset>
                </wp:positionH>
                <wp:positionV relativeFrom="page">
                  <wp:posOffset>7404100</wp:posOffset>
                </wp:positionV>
                <wp:extent cx="108585" cy="0"/>
                <wp:effectExtent l="0" t="0" r="0" b="0"/>
                <wp:wrapNone/>
                <wp:docPr id="3" name="直线 4"/>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329.15pt;margin-top:583pt;height:0pt;width:8.55pt;mso-position-horizontal-relative:page;mso-position-vertical-relative:page;z-index:-251655168;mso-width-relative:page;mso-height-relative:page;" filled="f" stroked="t" coordsize="21600,21600" o:gfxdata="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ANpubX&#10;AAAADQEAAA8AAAAAAAAAAQAgAAAAIgAAAGRycy9kb3ducmV2LnhtbFBLAQIUABQAAAAIAIdO4kD5&#10;V6nM6AEAANoDAAAOAAAAAAAAAAEAIAAAACYBAABkcnMvZTJvRG9jLnhtbFBLBQYAAAAABgAGAFkB&#10;AACABQAAAAA=&#10;">
                <v:fill on="f" focussize="0,0"/>
                <v:stroke weight="0.48748031496063pt" color="#000000" joinstyle="round"/>
                <v:imagedata o:title=""/>
                <o:lock v:ext="edit" aspectratio="f"/>
              </v:lin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1155700</wp:posOffset>
                </wp:positionH>
                <wp:positionV relativeFrom="page">
                  <wp:posOffset>7676515</wp:posOffset>
                </wp:positionV>
                <wp:extent cx="108585" cy="0"/>
                <wp:effectExtent l="0" t="0" r="0" b="0"/>
                <wp:wrapNone/>
                <wp:docPr id="4" name="直线 5"/>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91pt;margin-top:604.45pt;height:0pt;width:8.55pt;mso-position-horizontal-relative:page;mso-position-vertical-relative:page;z-index:-251654144;mso-width-relative:page;mso-height-relative:page;" filled="f" stroked="t" coordsize="21600,21600" o:gfxdata="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mu2wp1gAA&#10;AA0BAAAPAAAAAAAAAAEAIAAAACIAAABkcnMvZG93bnJldi54bWxQSwECFAAUAAAACACHTuJAWFO0&#10;u+cBAADaAwAADgAAAAAAAAABACAAAAAlAQAAZHJzL2Uyb0RvYy54bWxQSwUGAAAAAAYABgBZAQAA&#10;fgUAAAAA&#10;">
                <v:fill on="f" focussize="0,0"/>
                <v:stroke weight="0.48748031496063pt" color="#000000" joinstyle="round"/>
                <v:imagedata o:title=""/>
                <o:lock v:ext="edit" aspectratio="f"/>
              </v:line>
            </w:pict>
          </mc:Fallback>
        </mc:AlternateContent>
      </w:r>
      <w:r>
        <mc:AlternateContent>
          <mc:Choice Requires="wpg">
            <w:drawing>
              <wp:anchor distT="0" distB="0" distL="114300" distR="114300" simplePos="0" relativeHeight="251663360" behindDoc="1" locked="0" layoutInCell="1" allowOverlap="1">
                <wp:simplePos x="0" y="0"/>
                <wp:positionH relativeFrom="page">
                  <wp:posOffset>1249045</wp:posOffset>
                </wp:positionH>
                <wp:positionV relativeFrom="page">
                  <wp:posOffset>9048115</wp:posOffset>
                </wp:positionV>
                <wp:extent cx="2966085" cy="6350"/>
                <wp:effectExtent l="0" t="0" r="0" b="0"/>
                <wp:wrapNone/>
                <wp:docPr id="7" name="组合 6"/>
                <wp:cNvGraphicFramePr/>
                <a:graphic xmlns:a="http://schemas.openxmlformats.org/drawingml/2006/main">
                  <a:graphicData uri="http://schemas.microsoft.com/office/word/2010/wordprocessingGroup">
                    <wpg:wgp>
                      <wpg:cNvGrpSpPr/>
                      <wpg:grpSpPr>
                        <a:xfrm>
                          <a:off x="0" y="0"/>
                          <a:ext cx="2966085" cy="6350"/>
                          <a:chOff x="1967" y="14249"/>
                          <a:chExt cx="4671" cy="10"/>
                        </a:xfrm>
                      </wpg:grpSpPr>
                      <wps:wsp>
                        <wps:cNvPr id="5" name="任意多边形 7"/>
                        <wps:cNvSpPr/>
                        <wps:spPr>
                          <a:xfrm>
                            <a:off x="1967" y="14254"/>
                            <a:ext cx="4659" cy="2"/>
                          </a:xfrm>
                          <a:custGeom>
                            <a:avLst/>
                            <a:gdLst/>
                            <a:ahLst/>
                            <a:cxnLst/>
                            <a:pathLst>
                              <a:path w="4659">
                                <a:moveTo>
                                  <a:pt x="0" y="0"/>
                                </a:moveTo>
                                <a:lnTo>
                                  <a:pt x="2146" y="0"/>
                                </a:lnTo>
                                <a:moveTo>
                                  <a:pt x="2191" y="0"/>
                                </a:moveTo>
                                <a:lnTo>
                                  <a:pt x="2950" y="0"/>
                                </a:lnTo>
                                <a:moveTo>
                                  <a:pt x="2950" y="0"/>
                                </a:moveTo>
                                <a:lnTo>
                                  <a:pt x="3459" y="0"/>
                                </a:lnTo>
                                <a:moveTo>
                                  <a:pt x="3459" y="0"/>
                                </a:moveTo>
                                <a:lnTo>
                                  <a:pt x="3843" y="0"/>
                                </a:lnTo>
                                <a:moveTo>
                                  <a:pt x="3843" y="0"/>
                                </a:moveTo>
                                <a:lnTo>
                                  <a:pt x="4659" y="0"/>
                                </a:lnTo>
                              </a:path>
                            </a:pathLst>
                          </a:custGeom>
                          <a:noFill/>
                          <a:ln w="6191" cap="flat" cmpd="sng">
                            <a:solidFill>
                              <a:srgbClr val="000000"/>
                            </a:solidFill>
                            <a:prstDash val="solid"/>
                            <a:headEnd type="none" w="med" len="med"/>
                            <a:tailEnd type="none" w="med" len="med"/>
                          </a:ln>
                        </wps:spPr>
                        <wps:bodyPr wrap="square" upright="1"/>
                      </wps:wsp>
                      <wps:wsp>
                        <wps:cNvPr id="6" name="矩形 8"/>
                        <wps:cNvSpPr/>
                        <wps:spPr>
                          <a:xfrm>
                            <a:off x="6625" y="14249"/>
                            <a:ext cx="12" cy="10"/>
                          </a:xfrm>
                          <a:prstGeom prst="rect">
                            <a:avLst/>
                          </a:prstGeom>
                          <a:solidFill>
                            <a:srgbClr val="000000"/>
                          </a:solidFill>
                          <a:ln>
                            <a:noFill/>
                          </a:ln>
                        </wps:spPr>
                        <wps:bodyPr wrap="square" upright="1"/>
                      </wps:wsp>
                    </wpg:wgp>
                  </a:graphicData>
                </a:graphic>
              </wp:anchor>
            </w:drawing>
          </mc:Choice>
          <mc:Fallback>
            <w:pict>
              <v:group id="组合 6" o:spid="_x0000_s1026" o:spt="203" style="position:absolute;left:0pt;margin-left:98.35pt;margin-top:712.45pt;height:0.5pt;width:233.55pt;mso-position-horizontal-relative:page;mso-position-vertical-relative:page;z-index:-251653120;mso-width-relative:page;mso-height-relative:page;" coordorigin="1967,14249" coordsize="4671,10" o:gfxdata="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msWEJ3AAAAA0B&#10;AAAPAAAAAAAAAAEAIAAAACIAAABkcnMvZG93bnJldi54bWxQSwECFAAUAAAACACHTuJA6XjX1TQD&#10;AACWCAAADgAAAAAAAAABACAAAAArAQAAZHJzL2Uyb0RvYy54bWxQSwUGAAAAAAYABgBZAQAA0QYA&#10;AAAA&#10;">
                <o:lock v:ext="edit" aspectratio="f"/>
                <v:shape id="任意多边形 7" o:spid="_x0000_s1026" o:spt="100" style="position:absolute;left:1967;top:14254;height:2;width:4659;" filled="f" stroked="t" coordsize="4659,1" o:gfxdata="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bzmtugAAANoA&#10;AAAPAAAAAAAAAAEAIAAAACIAAABkcnMvZG93bnJldi54bWxQSwECFAAUAAAACACHTuJAMy8FnjsA&#10;AAA5AAAAEAAAAAAAAAABACAAAAAJAQAAZHJzL3NoYXBleG1sLnhtbFBLBQYAAAAABgAGAFsBAACz&#10;AwAAAAA=&#10;" path="m0,0l2146,0m2191,0l2950,0m2950,0l3459,0m3459,0l3843,0m3843,0l4659,0e">
                  <v:fill on="f" focussize="0,0"/>
                  <v:stroke weight="0.48748031496063pt" color="#000000" joinstyle="round"/>
                  <v:imagedata o:title=""/>
                  <o:lock v:ext="edit" aspectratio="f"/>
                </v:shape>
                <v:rect id="矩形 8" o:spid="_x0000_s1026" o:spt="1" style="position:absolute;left:6625;top:14249;height:10;width:12;"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mc:AlternateContent>
          <mc:Choice Requires="wps">
            <w:drawing>
              <wp:anchor distT="0" distB="0" distL="114300" distR="114300" simplePos="0" relativeHeight="251664384" behindDoc="1" locked="0" layoutInCell="1" allowOverlap="1">
                <wp:simplePos x="0" y="0"/>
                <wp:positionH relativeFrom="page">
                  <wp:posOffset>5318760</wp:posOffset>
                </wp:positionH>
                <wp:positionV relativeFrom="page">
                  <wp:posOffset>9051290</wp:posOffset>
                </wp:positionV>
                <wp:extent cx="257810" cy="0"/>
                <wp:effectExtent l="0" t="0" r="0" b="0"/>
                <wp:wrapNone/>
                <wp:docPr id="8" name="直线 9"/>
                <wp:cNvGraphicFramePr/>
                <a:graphic xmlns:a="http://schemas.openxmlformats.org/drawingml/2006/main">
                  <a:graphicData uri="http://schemas.microsoft.com/office/word/2010/wordprocessingShape">
                    <wps:wsp>
                      <wps:cNvCnPr/>
                      <wps:spPr>
                        <a:xfrm>
                          <a:off x="0" y="0"/>
                          <a:ext cx="257810" cy="0"/>
                        </a:xfrm>
                        <a:prstGeom prst="line">
                          <a:avLst/>
                        </a:prstGeom>
                        <a:ln w="6191"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18.8pt;margin-top:712.7pt;height:0pt;width:20.3pt;mso-position-horizontal-relative:page;mso-position-vertical-relative:page;z-index:-251652096;mso-width-relative:page;mso-height-relative:page;" filled="f" stroked="t" coordsize="21600,21600" o:gfxdata="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UtRedcA&#10;AAANAQAADwAAAAAAAAABACAAAAAiAAAAZHJzL2Rvd25yZXYueG1sUEsBAhQAFAAAAAgAh07iQNVa&#10;ezbnAQAA2gMAAA4AAAAAAAAAAQAgAAAAJgEAAGRycy9lMm9Eb2MueG1sUEsFBgAAAAAGAAYAWQEA&#10;AH8FAAAAAA==&#10;">
                <v:fill on="f" focussize="0,0"/>
                <v:stroke weight="0.48748031496063pt" color="#000000" joinstyle="round"/>
                <v:imagedata o:title=""/>
                <o:lock v:ext="edit" aspectratio="f"/>
              </v:line>
            </w:pict>
          </mc:Fallback>
        </mc:AlternateContent>
      </w:r>
    </w:p>
    <w:p>
      <w:pPr>
        <w:spacing w:after="0"/>
        <w:rPr>
          <w:sz w:val="2"/>
          <w:szCs w:val="2"/>
        </w:rPr>
        <w:sectPr>
          <w:type w:val="continuous"/>
          <w:pgSz w:w="11920" w:h="16860"/>
          <w:pgMar w:top="740" w:right="640" w:bottom="280" w:left="580" w:header="720" w:footer="720" w:gutter="0"/>
          <w:cols w:space="720" w:num="1"/>
        </w:sectPr>
      </w:pPr>
    </w:p>
    <w:tbl>
      <w:tblPr>
        <w:tblStyle w:val="2"/>
        <w:tblW w:w="0" w:type="auto"/>
        <w:tblInd w:w="1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 w:hRule="atLeast"/>
        </w:trPr>
        <w:tc>
          <w:tcPr>
            <w:tcW w:w="10423" w:type="dxa"/>
            <w:tcBorders>
              <w:top w:val="nil"/>
            </w:tcBorders>
            <w:noWrap w:val="0"/>
            <w:vAlign w:val="top"/>
          </w:tcPr>
          <w:p>
            <w:pPr>
              <w:pStyle w:val="6"/>
              <w:ind w:left="0"/>
              <w:rPr>
                <w:rFonts w:ascii="Times New Roman"/>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23" w:type="dxa"/>
            <w:noWrap w:val="0"/>
            <w:vAlign w:val="top"/>
          </w:tcPr>
          <w:p>
            <w:pPr>
              <w:pStyle w:val="6"/>
              <w:spacing w:before="156"/>
              <w:ind w:left="-1"/>
              <w:rPr>
                <w:sz w:val="14"/>
              </w:rPr>
            </w:pPr>
            <w:r>
              <w:rPr>
                <w:b/>
                <w:w w:val="105"/>
                <w:sz w:val="14"/>
              </w:rPr>
              <w:t>十、：</w:t>
            </w:r>
            <w:r>
              <w:rPr>
                <w:w w:val="105"/>
                <w:sz w:val="14"/>
              </w:rPr>
              <w:t>订货量 0-500件允许溢短装±</w:t>
            </w:r>
            <w:r>
              <w:rPr>
                <w:rFonts w:hint="eastAsia"/>
                <w:w w:val="105"/>
                <w:sz w:val="14"/>
                <w:lang w:val="en-US" w:eastAsia="zh-CN"/>
              </w:rPr>
              <w:t xml:space="preserve"> {{moreLess1}} </w:t>
            </w:r>
            <w:r>
              <w:rPr>
                <w:w w:val="105"/>
                <w:sz w:val="14"/>
              </w:rPr>
              <w:t>%, 501-2000件允许溢短装±</w:t>
            </w:r>
            <w:r>
              <w:rPr>
                <w:rFonts w:hint="eastAsia"/>
                <w:w w:val="105"/>
                <w:sz w:val="14"/>
                <w:lang w:val="en-US" w:eastAsia="zh-CN"/>
              </w:rPr>
              <w:t xml:space="preserve"> {{moreLess2}} </w:t>
            </w:r>
            <w:r>
              <w:rPr>
                <w:w w:val="105"/>
                <w:sz w:val="14"/>
              </w:rPr>
              <w:t>%, 2001件以上允许溢短装±</w:t>
            </w:r>
            <w:r>
              <w:rPr>
                <w:rFonts w:hint="eastAsia"/>
                <w:w w:val="105"/>
                <w:sz w:val="14"/>
                <w:lang w:val="en-US" w:eastAsia="zh-CN"/>
              </w:rPr>
              <w:t xml:space="preserve"> {{moreLess3}} </w:t>
            </w:r>
            <w:r>
              <w:rPr>
                <w:w w:val="105"/>
                <w:sz w:val="1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23" w:type="dxa"/>
            <w:tcBorders>
              <w:bottom w:val="nil"/>
            </w:tcBorders>
            <w:noWrap w:val="0"/>
            <w:vAlign w:val="top"/>
          </w:tcPr>
          <w:p>
            <w:pPr>
              <w:pStyle w:val="6"/>
              <w:spacing w:before="156" w:line="214" w:lineRule="exact"/>
              <w:ind w:left="-1"/>
              <w:rPr>
                <w:b/>
                <w:sz w:val="14"/>
              </w:rPr>
            </w:pPr>
            <w:r>
              <w:rPr>
                <w:b/>
                <w:w w:val="105"/>
                <w:sz w:val="14"/>
              </w:rPr>
              <w:t>十一、特殊约定及保密：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1</w:t>
            </w:r>
            <w:r>
              <w:rPr>
                <w:spacing w:val="-1"/>
                <w:w w:val="105"/>
                <w:sz w:val="14"/>
              </w:rPr>
              <w:t xml:space="preserve">、乙方向甲方申领辅料 </w:t>
            </w:r>
            <w:r>
              <w:rPr>
                <w:rFonts w:hint="eastAsia"/>
                <w:spacing w:val="-1"/>
                <w:w w:val="105"/>
                <w:sz w:val="14"/>
                <w:lang w:val="en-US" w:eastAsia="zh-CN"/>
              </w:rPr>
              <w:t>{{accessories}}</w:t>
            </w:r>
            <w:r>
              <w:rPr>
                <w:spacing w:val="-3"/>
                <w:w w:val="105"/>
                <w:sz w:val="14"/>
              </w:rPr>
              <w:t>套，总金额为</w:t>
            </w:r>
            <w:r>
              <w:rPr>
                <w:rFonts w:hint="eastAsia"/>
                <w:spacing w:val="-3"/>
                <w:w w:val="105"/>
                <w:sz w:val="14"/>
                <w:lang w:val="en-US" w:eastAsia="zh-CN"/>
              </w:rPr>
              <w:t>{{totalSum}}</w:t>
            </w:r>
            <w:r>
              <w:rPr>
                <w:spacing w:val="-3"/>
                <w:w w:val="105"/>
                <w:sz w:val="14"/>
              </w:rPr>
              <w:t>元，平均单件衣服对应辅料金额为</w:t>
            </w:r>
            <w:r>
              <w:rPr>
                <w:rFonts w:hint="eastAsia"/>
                <w:spacing w:val="-3"/>
                <w:w w:val="105"/>
                <w:sz w:val="14"/>
                <w:lang w:val="en-US" w:eastAsia="zh-CN"/>
              </w:rPr>
              <w:t>{{poNum10}</w:t>
            </w:r>
            <w:r>
              <w:rPr>
                <w:spacing w:val="4"/>
                <w:w w:val="105"/>
                <w:sz w:val="14"/>
              </w:rPr>
              <w:t>元。甲方额外免费提供</w:t>
            </w:r>
            <w:r>
              <w:rPr>
                <w:w w:val="105"/>
                <w:sz w:val="14"/>
              </w:rPr>
              <w:t>3%</w:t>
            </w:r>
            <w:r>
              <w:rPr>
                <w:spacing w:val="-1"/>
                <w:w w:val="105"/>
                <w:sz w:val="14"/>
              </w:rPr>
              <w:t>的辅料损耗。短装部分以及乙方申请增加的辅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料，其费用由乙方承担，结算时由甲方在应付乙方货款中扣除。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2、面料成分必须准确（±3%）！色牢度（干、湿磨）≥3级！禁偶氮；甲醛含量＜75mg/kg，PH值：中性；否则一切损失由乙方承担！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3、乙方及乙方员工保证对在履行本订购单期间所知晓的甲方商业秘密（包括但不限于甲方知识产权、本订购单合作服装款式、补单信息等）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sz w:val="14"/>
              </w:rPr>
              <w:t>进行严格保密，乙方及乙方员工不得以任何方式泄露甲方商业秘密，否则甲方有权要求乙方支付100万元违约金，该违约金不足以弥补甲方损 失的，乙方应补足。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0423" w:type="dxa"/>
            <w:tcBorders>
              <w:top w:val="nil"/>
            </w:tcBorders>
            <w:noWrap w:val="0"/>
            <w:vAlign w:val="top"/>
          </w:tcPr>
          <w:p>
            <w:pPr>
              <w:pStyle w:val="6"/>
              <w:spacing w:line="239" w:lineRule="exact"/>
              <w:ind w:left="-1"/>
              <w:rPr>
                <w:sz w:val="14"/>
              </w:rPr>
            </w:pPr>
            <w:r>
              <w:rPr>
                <w:w w:val="105"/>
                <w:sz w:val="14"/>
              </w:rPr>
              <w:t>本条保密条款的期限为长期有效，乙方及乙方员工的保密义务不随着本订购单的终止而解除。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bottom w:val="nil"/>
            </w:tcBorders>
            <w:noWrap w:val="0"/>
            <w:vAlign w:val="top"/>
          </w:tcPr>
          <w:p>
            <w:pPr>
              <w:pStyle w:val="6"/>
              <w:spacing w:line="195" w:lineRule="exact"/>
              <w:ind w:left="-1"/>
              <w:rPr>
                <w:b/>
                <w:sz w:val="14"/>
              </w:rPr>
            </w:pPr>
            <w:r>
              <w:rPr>
                <w:b/>
                <w:w w:val="105"/>
                <w:sz w:val="14"/>
              </w:rPr>
              <w:t>十二、知识产权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1、甲方委托乙方生产产品的商标（包括但不限于图形、汉字、英文、及上述元素组合）</w:t>
            </w:r>
            <w:r>
              <w:rPr>
                <w:spacing w:val="-2"/>
                <w:w w:val="105"/>
                <w:sz w:val="14"/>
              </w:rPr>
              <w:t>、产品设计、包装设计等全部知识 产权归甲方所有</w:t>
            </w:r>
            <w:r>
              <w:rPr>
                <w:w w:val="105"/>
                <w:sz w:val="14"/>
              </w:rPr>
              <w:t>（如有），乙方仅可在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甲方委托范围内使用，不得用于本合同目的之外的任何用途，不得以任何方式侵犯甲方 及甲方关联公司的知识产权；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2、本合同期限届满或终止后，乙方不得以任何形式自行生产或销售有甲方及甲方关联公司品牌商标的产品或按照甲方产品设计生产或销售产品（乙方承担库存部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分的产品除外）；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3、乙方印制甲方品牌商标过程中产生的不合格或废弃的成品、半成品、次品（如有），乙方应全部就地销毁，不得流入社会、市场或挪作它用；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4、乙方保证提供给甲方的产品来源合法、不侵犯任何第三方的合法权益、不违反任何法律法规，不属于假冒、伪劣产品。如乙方产品涉及第三方知识产权的，须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向甲方提供知识产权证书、授权证明等文件。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5、若乙方违反上述第十二条第1款、第十二条第2款、第十二条第3款、第十二条第4款的约定，给甲方造成损失的，甲方有 权单方面解除合同、要求乙方退还已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0423" w:type="dxa"/>
            <w:tcBorders>
              <w:top w:val="nil"/>
            </w:tcBorders>
            <w:noWrap w:val="0"/>
            <w:vAlign w:val="top"/>
          </w:tcPr>
          <w:p>
            <w:pPr>
              <w:pStyle w:val="6"/>
              <w:spacing w:line="239" w:lineRule="exact"/>
              <w:ind w:left="-1"/>
              <w:rPr>
                <w:sz w:val="14"/>
              </w:rPr>
            </w:pPr>
            <w:r>
              <w:rPr>
                <w:w w:val="105"/>
                <w:sz w:val="14"/>
              </w:rPr>
              <w:t>收取的全部费用并有权要求乙方向甲方支付10万元违约金，违约金不足以弥补甲方损失的，乙方应补足。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bottom w:val="nil"/>
            </w:tcBorders>
            <w:noWrap w:val="0"/>
            <w:vAlign w:val="top"/>
          </w:tcPr>
          <w:p>
            <w:pPr>
              <w:pStyle w:val="6"/>
              <w:spacing w:line="195" w:lineRule="exact"/>
              <w:ind w:left="-1"/>
              <w:rPr>
                <w:b/>
                <w:sz w:val="14"/>
              </w:rPr>
            </w:pPr>
            <w:r>
              <w:rPr>
                <w:b/>
                <w:w w:val="105"/>
                <w:sz w:val="14"/>
              </w:rPr>
              <w:t>十三、其他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1、本订购单一式两份，双方各执一份，具有同等法律效力。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23" w:type="dxa"/>
            <w:tcBorders>
              <w:top w:val="nil"/>
              <w:bottom w:val="nil"/>
            </w:tcBorders>
            <w:noWrap w:val="0"/>
            <w:vAlign w:val="top"/>
          </w:tcPr>
          <w:p>
            <w:pPr>
              <w:pStyle w:val="6"/>
              <w:spacing w:line="194" w:lineRule="exact"/>
              <w:ind w:left="-1"/>
              <w:rPr>
                <w:sz w:val="14"/>
              </w:rPr>
            </w:pPr>
            <w:r>
              <w:rPr>
                <w:w w:val="105"/>
                <w:sz w:val="14"/>
              </w:rPr>
              <w:t>2、由本订购单引起的纠纷，双方应协商解决，协商不成的，由甲方所在地人民法院管辖。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0423" w:type="dxa"/>
            <w:tcBorders>
              <w:top w:val="nil"/>
            </w:tcBorders>
            <w:noWrap w:val="0"/>
            <w:vAlign w:val="top"/>
          </w:tcPr>
          <w:p>
            <w:pPr>
              <w:pStyle w:val="6"/>
              <w:spacing w:line="239" w:lineRule="exact"/>
              <w:ind w:left="-1"/>
              <w:rPr>
                <w:sz w:val="14"/>
              </w:rPr>
            </w:pPr>
            <w:r>
              <w:rPr>
                <w:w w:val="105"/>
                <w:sz w:val="14"/>
              </w:rPr>
              <w:t>3、订购单有效期为自双方盖章之日起至双方权利义务全部履行完毕之日止。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0" w:hRule="atLeast"/>
        </w:trPr>
        <w:tc>
          <w:tcPr>
            <w:tcW w:w="10423" w:type="dxa"/>
            <w:noWrap w:val="0"/>
            <w:vAlign w:val="top"/>
          </w:tcPr>
          <w:p>
            <w:pPr>
              <w:pStyle w:val="6"/>
              <w:tabs>
                <w:tab w:val="left" w:pos="6776"/>
              </w:tabs>
              <w:spacing w:before="156"/>
              <w:ind w:left="-1"/>
              <w:rPr>
                <w:sz w:val="14"/>
              </w:rPr>
            </w:pPr>
            <w:r>
              <w:rPr>
                <w:b/>
                <w:w w:val="105"/>
                <w:sz w:val="14"/>
              </w:rPr>
              <w:t>甲方(盖章)：</w:t>
            </w:r>
            <w:r>
              <w:rPr>
                <w:rFonts w:hint="eastAsia"/>
                <w:b/>
                <w:w w:val="105"/>
                <w:sz w:val="14"/>
                <w:lang w:val="en-US" w:eastAsia="zh-CN"/>
              </w:rPr>
              <w:t>{{financialBody}}</w:t>
            </w:r>
            <w:r>
              <w:rPr>
                <w:w w:val="105"/>
                <w:sz w:val="14"/>
              </w:rPr>
              <w:tab/>
            </w:r>
            <w:r>
              <w:rPr>
                <w:b/>
                <w:w w:val="105"/>
                <w:sz w:val="14"/>
              </w:rPr>
              <w:t>乙方(盖章)：</w:t>
            </w:r>
            <w:r>
              <w:rPr>
                <w:rFonts w:hint="eastAsia"/>
                <w:b/>
                <w:w w:val="105"/>
                <w:sz w:val="14"/>
                <w:lang w:val="en-US" w:eastAsia="zh-CN"/>
              </w:rPr>
              <w:t>{{vendorName}}</w:t>
            </w:r>
          </w:p>
          <w:p>
            <w:pPr>
              <w:pStyle w:val="6"/>
              <w:tabs>
                <w:tab w:val="left" w:pos="6776"/>
              </w:tabs>
              <w:spacing w:before="132"/>
              <w:ind w:left="-1"/>
              <w:rPr>
                <w:b/>
                <w:sz w:val="14"/>
              </w:rPr>
            </w:pPr>
            <w:r>
              <w:rPr>
                <w:b/>
                <w:w w:val="105"/>
                <w:sz w:val="14"/>
              </w:rPr>
              <w:t>授权代表人：</w:t>
            </w:r>
            <w:r>
              <w:rPr>
                <w:b/>
                <w:w w:val="105"/>
                <w:sz w:val="14"/>
              </w:rPr>
              <w:tab/>
            </w:r>
            <w:r>
              <w:rPr>
                <w:b/>
                <w:w w:val="105"/>
                <w:sz w:val="14"/>
              </w:rPr>
              <w:t>授权代表人：</w:t>
            </w:r>
          </w:p>
          <w:p>
            <w:pPr>
              <w:pStyle w:val="6"/>
              <w:tabs>
                <w:tab w:val="left" w:pos="699"/>
                <w:tab w:val="left" w:pos="1107"/>
                <w:tab w:val="left" w:pos="1515"/>
                <w:tab w:val="left" w:pos="6776"/>
                <w:tab w:val="left" w:pos="7476"/>
                <w:tab w:val="left" w:pos="7883"/>
                <w:tab w:val="left" w:pos="8291"/>
              </w:tabs>
              <w:spacing w:before="132"/>
              <w:ind w:left="-1"/>
              <w:rPr>
                <w:b/>
                <w:sz w:val="14"/>
              </w:rPr>
            </w:pPr>
            <w:r>
              <w:rPr>
                <w:b/>
                <w:w w:val="105"/>
                <w:sz w:val="14"/>
              </w:rPr>
              <w:t>日期：</w:t>
            </w:r>
            <w:r>
              <w:rPr>
                <w:b/>
                <w:w w:val="105"/>
                <w:sz w:val="14"/>
              </w:rPr>
              <w:tab/>
            </w:r>
            <w:r>
              <w:rPr>
                <w:b/>
                <w:w w:val="105"/>
                <w:sz w:val="14"/>
              </w:rPr>
              <w:t>年</w:t>
            </w:r>
            <w:r>
              <w:rPr>
                <w:b/>
                <w:w w:val="105"/>
                <w:sz w:val="14"/>
              </w:rPr>
              <w:tab/>
            </w:r>
            <w:r>
              <w:rPr>
                <w:b/>
                <w:w w:val="105"/>
                <w:sz w:val="14"/>
              </w:rPr>
              <w:t>月</w:t>
            </w:r>
            <w:r>
              <w:rPr>
                <w:b/>
                <w:w w:val="105"/>
                <w:sz w:val="14"/>
              </w:rPr>
              <w:tab/>
            </w:r>
            <w:r>
              <w:rPr>
                <w:b/>
                <w:w w:val="105"/>
                <w:sz w:val="14"/>
              </w:rPr>
              <w:t>日</w:t>
            </w:r>
            <w:r>
              <w:rPr>
                <w:b/>
                <w:w w:val="105"/>
                <w:sz w:val="14"/>
              </w:rPr>
              <w:tab/>
            </w:r>
            <w:r>
              <w:rPr>
                <w:b/>
                <w:w w:val="105"/>
                <w:sz w:val="14"/>
              </w:rPr>
              <w:t>日期：</w:t>
            </w:r>
            <w:r>
              <w:rPr>
                <w:b/>
                <w:w w:val="105"/>
                <w:sz w:val="14"/>
              </w:rPr>
              <w:tab/>
            </w:r>
            <w:r>
              <w:rPr>
                <w:b/>
                <w:w w:val="105"/>
                <w:sz w:val="14"/>
              </w:rPr>
              <w:t>年</w:t>
            </w:r>
            <w:r>
              <w:rPr>
                <w:b/>
                <w:w w:val="105"/>
                <w:sz w:val="14"/>
              </w:rPr>
              <w:tab/>
            </w:r>
            <w:r>
              <w:rPr>
                <w:b/>
                <w:w w:val="105"/>
                <w:sz w:val="14"/>
              </w:rPr>
              <w:t>月</w:t>
            </w:r>
            <w:r>
              <w:rPr>
                <w:b/>
                <w:w w:val="105"/>
                <w:sz w:val="14"/>
              </w:rPr>
              <w:tab/>
            </w:r>
            <w:r>
              <w:rPr>
                <w:b/>
                <w:w w:val="105"/>
                <w:sz w:val="14"/>
              </w:rPr>
              <w:t>日</w:t>
            </w:r>
          </w:p>
        </w:tc>
      </w:tr>
    </w:tbl>
    <w:p/>
    <w:sectPr>
      <w:pgSz w:w="11920" w:h="16860"/>
      <w:pgMar w:top="560" w:right="64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 w:hanging="380"/>
        <w:jc w:val="left"/>
      </w:pPr>
      <w:rPr>
        <w:rFonts w:hint="default" w:ascii="微软雅黑" w:hAnsi="微软雅黑" w:eastAsia="微软雅黑" w:cs="微软雅黑"/>
        <w:spacing w:val="-16"/>
        <w:w w:val="100"/>
        <w:sz w:val="12"/>
        <w:szCs w:val="12"/>
        <w:lang w:val="zh-CN" w:eastAsia="zh-CN" w:bidi="zh-CN"/>
      </w:rPr>
    </w:lvl>
    <w:lvl w:ilvl="1" w:tentative="0">
      <w:start w:val="0"/>
      <w:numFmt w:val="bullet"/>
      <w:lvlText w:val="•"/>
      <w:lvlJc w:val="left"/>
      <w:pPr>
        <w:ind w:left="1041" w:hanging="380"/>
      </w:pPr>
      <w:rPr>
        <w:rFonts w:hint="default"/>
        <w:lang w:val="zh-CN" w:eastAsia="zh-CN" w:bidi="zh-CN"/>
      </w:rPr>
    </w:lvl>
    <w:lvl w:ilvl="2" w:tentative="0">
      <w:start w:val="0"/>
      <w:numFmt w:val="bullet"/>
      <w:lvlText w:val="•"/>
      <w:lvlJc w:val="left"/>
      <w:pPr>
        <w:ind w:left="2082" w:hanging="380"/>
      </w:pPr>
      <w:rPr>
        <w:rFonts w:hint="default"/>
        <w:lang w:val="zh-CN" w:eastAsia="zh-CN" w:bidi="zh-CN"/>
      </w:rPr>
    </w:lvl>
    <w:lvl w:ilvl="3" w:tentative="0">
      <w:start w:val="0"/>
      <w:numFmt w:val="bullet"/>
      <w:lvlText w:val="•"/>
      <w:lvlJc w:val="left"/>
      <w:pPr>
        <w:ind w:left="3123" w:hanging="380"/>
      </w:pPr>
      <w:rPr>
        <w:rFonts w:hint="default"/>
        <w:lang w:val="zh-CN" w:eastAsia="zh-CN" w:bidi="zh-CN"/>
      </w:rPr>
    </w:lvl>
    <w:lvl w:ilvl="4" w:tentative="0">
      <w:start w:val="0"/>
      <w:numFmt w:val="bullet"/>
      <w:lvlText w:val="•"/>
      <w:lvlJc w:val="left"/>
      <w:pPr>
        <w:ind w:left="4164" w:hanging="380"/>
      </w:pPr>
      <w:rPr>
        <w:rFonts w:hint="default"/>
        <w:lang w:val="zh-CN" w:eastAsia="zh-CN" w:bidi="zh-CN"/>
      </w:rPr>
    </w:lvl>
    <w:lvl w:ilvl="5" w:tentative="0">
      <w:start w:val="0"/>
      <w:numFmt w:val="bullet"/>
      <w:lvlText w:val="•"/>
      <w:lvlJc w:val="left"/>
      <w:pPr>
        <w:ind w:left="5205" w:hanging="380"/>
      </w:pPr>
      <w:rPr>
        <w:rFonts w:hint="default"/>
        <w:lang w:val="zh-CN" w:eastAsia="zh-CN" w:bidi="zh-CN"/>
      </w:rPr>
    </w:lvl>
    <w:lvl w:ilvl="6" w:tentative="0">
      <w:start w:val="0"/>
      <w:numFmt w:val="bullet"/>
      <w:lvlText w:val="•"/>
      <w:lvlJc w:val="left"/>
      <w:pPr>
        <w:ind w:left="6246" w:hanging="380"/>
      </w:pPr>
      <w:rPr>
        <w:rFonts w:hint="default"/>
        <w:lang w:val="zh-CN" w:eastAsia="zh-CN" w:bidi="zh-CN"/>
      </w:rPr>
    </w:lvl>
    <w:lvl w:ilvl="7" w:tentative="0">
      <w:start w:val="0"/>
      <w:numFmt w:val="bullet"/>
      <w:lvlText w:val="•"/>
      <w:lvlJc w:val="left"/>
      <w:pPr>
        <w:ind w:left="7287" w:hanging="380"/>
      </w:pPr>
      <w:rPr>
        <w:rFonts w:hint="default"/>
        <w:lang w:val="zh-CN" w:eastAsia="zh-CN" w:bidi="zh-CN"/>
      </w:rPr>
    </w:lvl>
    <w:lvl w:ilvl="8" w:tentative="0">
      <w:start w:val="0"/>
      <w:numFmt w:val="bullet"/>
      <w:lvlText w:val="•"/>
      <w:lvlJc w:val="left"/>
      <w:pPr>
        <w:ind w:left="8328" w:hanging="380"/>
      </w:pPr>
      <w:rPr>
        <w:rFonts w:hint="default"/>
        <w:lang w:val="zh-CN" w:eastAsia="zh-CN" w:bidi="zh-CN"/>
      </w:rPr>
    </w:lvl>
  </w:abstractNum>
  <w:abstractNum w:abstractNumId="1">
    <w:nsid w:val="2579D442"/>
    <w:multiLevelType w:val="singleLevel"/>
    <w:tmpl w:val="2579D44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B108B"/>
    <w:rsid w:val="101A0C6C"/>
    <w:rsid w:val="18BD14D2"/>
    <w:rsid w:val="2E5378D1"/>
    <w:rsid w:val="31E7336F"/>
    <w:rsid w:val="3B862E91"/>
    <w:rsid w:val="3EC23601"/>
    <w:rsid w:val="43060C4D"/>
    <w:rsid w:val="48B555BC"/>
    <w:rsid w:val="5F97041C"/>
    <w:rsid w:val="7FB374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character" w:default="1" w:styleId="3">
    <w:name w:val="Default Paragraph Font"/>
    <w:unhideWhenUsed/>
    <w:qFormat/>
    <w:uiPriority w:val="1"/>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unhideWhenUsed/>
    <w:qFormat/>
    <w:uiPriority w:val="2"/>
    <w:tblPr>
      <w:tblCellMar>
        <w:top w:w="0" w:type="dxa"/>
        <w:left w:w="0" w:type="dxa"/>
        <w:bottom w:w="0" w:type="dxa"/>
        <w:right w:w="0" w:type="dxa"/>
      </w:tblCellMar>
    </w:tblPr>
  </w:style>
  <w:style w:type="paragraph" w:styleId="5">
    <w:name w:val="List Paragraph"/>
    <w:basedOn w:val="1"/>
    <w:qFormat/>
    <w:uiPriority w:val="1"/>
    <w:rPr>
      <w:lang w:val="zh-CN" w:eastAsia="zh-CN" w:bidi="zh-CN"/>
    </w:rPr>
  </w:style>
  <w:style w:type="paragraph" w:customStyle="1" w:styleId="6">
    <w:name w:val="Table Paragraph"/>
    <w:basedOn w:val="1"/>
    <w:qFormat/>
    <w:uiPriority w:val="1"/>
    <w:pPr>
      <w:ind w:left="9"/>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2021-09-15T06:19:00Z</dcterms:created>
  <dc:creator> 亮</dc:creator>
  <cp:lastModifiedBy>lqliu</cp:lastModifiedBy>
  <dcterms:modified xsi:type="dcterms:W3CDTF">2021-09-16T10:09:46Z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2021-09-15T00:00:00Z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2021-09-15T00:00:00Z</vt:filetime>
  </property>
  <property fmtid="{D5CDD505-2E9C-101B-9397-08002B2CF9AE}" pid="5" name="KSOProductBuildVer">
    <vt:lpwstr>2052-11.1.0.10700</vt:lpwstr>
  </property>
  <property fmtid="{D5CDD505-2E9C-101B-9397-08002B2CF9AE}" pid="6" name="ICV">
    <vt:lpwstr>DC321140FDAD468CB8A4B1AE1C50238E</vt:lpwstr>
  </property>
</Properties>
</file>