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  <w:shd w:val="clear" w:color="auto" w:fill="FFE699"/>
      </w:pPr>
      <w:r>
        <w:rPr>
          <w:rFonts w:ascii="Aptos" w:hAnsi="Aptos" w:eastAsia="Microsoft YaHei"/>
          <w:b/>
          <w:color w:val="17365D"/>
          <w:sz w:val="46"/>
        </w:rPr>
        <w:t>[姓名待补]</w:t>
      </w:r>
    </w:p>
    <w:p>
      <w:pPr>
        <w:spacing w:after="40"/>
      </w:pPr>
      <w:r>
        <w:rPr>
          <w:rFonts w:ascii="Aptos" w:hAnsi="Aptos" w:eastAsia="Microsoft YaHei"/>
          <w:b/>
          <w:color w:val="2E75B6"/>
          <w:sz w:val="21"/>
        </w:rPr>
        <w:t>人工智能算法工程师  |  多模态 / Agent Runtime / VLA</w:t>
      </w:r>
    </w:p>
    <w:p>
      <w:pPr>
        <w:pStyle w:val="ResumeMeta"/>
        <w:jc w:val="left"/>
        <w:shd w:val="clear" w:color="auto" w:fill="FFE699"/>
        <w:pBdr>
          <w:bottom w:val="single" w:sz="10" w:space="4" w:color="2E75B6"/>
        </w:pBdr>
      </w:pPr>
      <w:r>
        <w:rPr>
          <w:rFonts w:ascii="Aptos" w:hAnsi="Aptos" w:eastAsia="Microsoft YaHei"/>
          <w:color w:val="666666"/>
          <w:sz w:val="17"/>
        </w:rPr>
        <w:t>[电话待补]  |  [邮箱待补]  |  [GitHub/作品集链接待补]  |  [所在城市待补]</w:t>
      </w:r>
    </w:p>
    <w:p>
      <w:pPr>
        <w:spacing w:before="80" w:after="80"/>
        <w:jc w:val="center"/>
        <w:shd w:val="clear" w:color="auto" w:fill="FFF2CC"/>
      </w:pPr>
      <w:r>
        <w:rPr>
          <w:rFonts w:ascii="Aptos" w:hAnsi="Aptos" w:eastAsia="Microsoft YaHei"/>
          <w:b/>
          <w:color w:val="9C0006"/>
          <w:sz w:val="16"/>
        </w:rPr>
        <w:t>内部审查版 v0.1  |  ◇ = 预测/目标区间，尚未验证，正式投递前必须替换</w:t>
      </w:r>
    </w:p>
    <w:p>
      <w:pPr>
        <w:pStyle w:val="Heading1"/>
        <w:pBdr>
          <w:bottom w:val="single" w:sz="6" w:space="1" w:color="B9C7D8"/>
        </w:pBdr>
      </w:pPr>
      <w:r>
        <w:t>个人概述</w:t>
      </w:r>
    </w:p>
    <w:p>
      <w:pPr>
        <w:spacing w:after="60"/>
      </w:pPr>
      <w:r>
        <w:rPr>
          <w:rFonts w:ascii="Aptos" w:hAnsi="Aptos" w:eastAsia="Microsoft YaHei"/>
          <w:color w:val="20242A"/>
          <w:sz w:val="18"/>
        </w:rPr>
        <w:t>围绕多模态大模型后训练、可治理 Agent Runtime 与自动驾驶 VLA 推理构建作品集，强调身份冻结、可恢复实验、逐样本证据和严格主张边界；具备 Python/PyTorch 算法实现、Docker 隔离评测、API 服务化与 Java 后端工程能力。</w:t>
      </w:r>
    </w:p>
    <w:p>
      <w:pPr>
        <w:pStyle w:val="Heading1"/>
        <w:pBdr>
          <w:bottom w:val="single" w:sz="6" w:space="1" w:color="B9C7D8"/>
        </w:pBdr>
      </w:pPr>
      <w:r>
        <w:t>核心技能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b/>
          <w:color w:val="17365D"/>
          <w:sz w:val="18"/>
        </w:rPr>
        <w:t>模型与算法：</w:t>
      </w:r>
      <w:r>
        <w:rPr>
          <w:rFonts w:ascii="Aptos" w:hAnsi="Aptos" w:eastAsia="Microsoft YaHei"/>
          <w:color w:val="20242A"/>
          <w:sz w:val="18"/>
        </w:rPr>
        <w:t>Python、PyTorch、Qwen2.5-VL、ms-swift、PEFT/TRL、QLoRA/GRPO、Reward/Verifier、统计检验。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b/>
          <w:color w:val="17365D"/>
          <w:sz w:val="18"/>
        </w:rPr>
        <w:t>Agent 与系统：</w:t>
      </w:r>
      <w:r>
        <w:rPr>
          <w:rFonts w:ascii="Aptos" w:hAnsi="Aptos" w:eastAsia="Microsoft YaHei"/>
          <w:color w:val="20242A"/>
          <w:sz w:val="18"/>
        </w:rPr>
        <w:t>Agent Runtime、ReAct、检索/重排、工具协议、checkpoint/journal/trace、HTTP/SSE、并发与恢复。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b/>
          <w:color w:val="17365D"/>
          <w:sz w:val="18"/>
        </w:rPr>
        <w:t>工程与质量：</w:t>
      </w:r>
      <w:r>
        <w:rPr>
          <w:rFonts w:ascii="Aptos" w:hAnsi="Aptos" w:eastAsia="Microsoft YaHei"/>
          <w:color w:val="20242A"/>
          <w:sz w:val="18"/>
        </w:rPr>
        <w:t>Docker/CI、pytest、Ruff、strict mypy、Spring Boot、MySQL/Redis、Keycloak、Prometheus/Grafana、k6。</w:t>
      </w:r>
    </w:p>
    <w:p>
      <w:pPr>
        <w:pStyle w:val="Heading1"/>
        <w:pBdr>
          <w:bottom w:val="single" w:sz="6" w:space="1" w:color="B9C7D8"/>
        </w:pBdr>
      </w:pPr>
      <w:r>
        <w:t>项目经历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17365D"/>
          <w:sz w:val="20"/>
        </w:rPr>
        <w:t>ForgeMM</w:t>
      </w:r>
      <w:r>
        <w:rPr>
          <w:rFonts w:ascii="Aptos" w:hAnsi="Aptos" w:eastAsia="Microsoft YaHei"/>
          <w:b/>
          <w:color w:val="20242A"/>
          <w:sz w:val="19"/>
        </w:rPr>
        <w:t xml:space="preserve">  |  图表问答可信推理的多模态后训练</w:t>
      </w:r>
      <w:r>
        <w:rPr>
          <w:rFonts w:ascii="Aptos" w:hAnsi="Aptos" w:eastAsia="Microsoft YaHei"/>
          <w:color w:val="666666"/>
          <w:sz w:val="17"/>
        </w:rPr>
        <w:t xml:space="preserve">  |  2026.08–至今</w:t>
      </w:r>
      <w:r>
        <w:rPr>
          <w:rFonts w:ascii="Aptos" w:hAnsi="Aptos" w:eastAsia="Microsoft YaHei"/>
          <w:b/>
          <w:color w:val="2E75B6"/>
          <w:sz w:val="17"/>
        </w:rPr>
        <w:t xml:space="preserve">  [正式训练进行中]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基于 Qwen2.5-VL-3B 与 ms-swift 设计 Answer-only/Structured QLoRA、标准 GRPO、固定多奖励 GRPO 与动态约束 Chart-FGRPO 的 E0–E5/A1–A2 对照矩阵。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构建 1,763 条严格 EvidenceStore，生成 3,526 条双模板 SFT 序列与 1,763 个 GRPO prompt；3,526/3,526 gold completion 通过答案/证据/运算三通道 reward 回放。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实现安全 Parser/Executor、三通道 reward、group advantage、constraint mask、dual update/clip/checkpoint 恢复，以及 FCR、paired bootstrap 95% CI、exact McNemar 评测；57 项测试、Ruff、strict mypy 通过。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在 RTX 4090 完成真实 GPU smoke：底座推理 0.899 samples/s，50-step Structured QLoRA 最终 token accuracy 0.9889；GRPO 三路 reward 非零并保存完整 checkpoint。该结果仅证明训练链路可执行。</w:t>
      </w:r>
    </w:p>
    <w:p>
      <w:pPr>
        <w:numPr>
          <w:ilvl w:val="0"/>
          <w:numId w:val="10"/>
        </w:numPr>
        <w:spacing w:after="16" w:line="250" w:lineRule="auto"/>
        <w:shd w:val="clear" w:color="auto" w:fill="FFF2CC"/>
      </w:pPr>
      <w:r>
        <w:rPr>
          <w:rFonts w:ascii="Aptos" w:hAnsi="Aptos" w:eastAsia="Microsoft YaHei"/>
          <w:color w:val="20242A"/>
          <w:sz w:val="18"/>
        </w:rPr>
        <w:t>◇ 预测/目标：若正式三种子实验达到预注册门槛，预计 E5 相对同起点 E3 的 FCR 提升 5–8 pp、推理不一致率降低 30%–40%，ChartQA relaxed accuracy 控制在 -1 至 +1 pp；以冻结 test/ChartQAPro 实测为准。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17365D"/>
          <w:sz w:val="20"/>
        </w:rPr>
        <w:t>DriveVLA-Guard</w:t>
      </w:r>
      <w:r>
        <w:rPr>
          <w:rFonts w:ascii="Aptos" w:hAnsi="Aptos" w:eastAsia="Microsoft YaHei"/>
          <w:b/>
          <w:color w:val="20242A"/>
          <w:sz w:val="19"/>
        </w:rPr>
        <w:t xml:space="preserve">  |  自动驾驶 VLA 风险感知推理与评测</w:t>
      </w:r>
      <w:r>
        <w:rPr>
          <w:rFonts w:ascii="Aptos" w:hAnsi="Aptos" w:eastAsia="Microsoft YaHei"/>
          <w:color w:val="666666"/>
          <w:sz w:val="17"/>
        </w:rPr>
        <w:t xml:space="preserve">  |  2026.08–至今</w:t>
      </w:r>
      <w:r>
        <w:rPr>
          <w:rFonts w:ascii="Aptos" w:hAnsi="Aptos" w:eastAsia="Microsoft YaHei"/>
          <w:b/>
          <w:color w:val="2E75B6"/>
          <w:sz w:val="17"/>
        </w:rPr>
        <w:t xml:space="preserve">  [官方 NAVSIM 待跑]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面向 AutoVLA/Qwen2.5-VL-3B 实现多候选 Action Token 生成、轨迹解码、可解释风险分解与 risk-triggered fast/slow routing；顺序候选生成用于控制 KV-cache 峰值。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建立 manifest/config/code hash 驱动的可恢复评测，逐场景保存 token、轨迹、风险分量、路由原因和延迟；NAVSIM agent 仅使用历史末帧 annotations 与 constant-velocity 外推，隔离 future GT。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完成 12 个冻结合成场景 B0/B1/E1–E4 的 72/72 运行及 1,200 场景、20,400 scene-runs 压力诊断（0 执行失败）；K=4 为最小零碰撞代理配置，slow path 25%。上述结果不是 NAVSIM 性能。</w:t>
      </w:r>
    </w:p>
    <w:p>
      <w:pPr>
        <w:numPr>
          <w:ilvl w:val="0"/>
          <w:numId w:val="10"/>
        </w:numPr>
        <w:spacing w:after="16" w:line="250" w:lineRule="auto"/>
        <w:shd w:val="clear" w:color="auto" w:fill="FFF2CC"/>
      </w:pPr>
      <w:r>
        <w:rPr>
          <w:rFonts w:ascii="Aptos" w:hAnsi="Aptos" w:eastAsia="Microsoft YaHei"/>
          <w:color w:val="20242A"/>
          <w:sz w:val="18"/>
        </w:rPr>
        <w:t>◇ 预测/目标：官方 B0/E2 若通过资产与复现门，预计碰撞/TTC 类安全失败相对下降 10%–20%，PDMS 变化 -0.5 至 +1.0 pp，端到端延迟增加 20%–35%；若安全门未满足则停止 E3/E4。</w:t>
      </w:r>
    </w:p>
    <w:p>
      <w:r>
        <w:br w:type="page"/>
      </w:r>
    </w:p>
    <w:p>
      <w:pPr>
        <w:pStyle w:val="Heading1"/>
        <w:pBdr>
          <w:bottom w:val="single" w:sz="6" w:space="1" w:color="B9C7D8"/>
        </w:pBdr>
      </w:pPr>
      <w:r>
        <w:t>项目经历（续）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17365D"/>
          <w:sz w:val="20"/>
        </w:rPr>
        <w:t>RepoPilot</w:t>
      </w:r>
      <w:r>
        <w:rPr>
          <w:rFonts w:ascii="Aptos" w:hAnsi="Aptos" w:eastAsia="Microsoft YaHei"/>
          <w:b/>
          <w:color w:val="20242A"/>
          <w:sz w:val="19"/>
        </w:rPr>
        <w:t xml:space="preserve">  |  本地优先、反馈驱动的可治理 Agent Runtime Lab</w:t>
      </w:r>
      <w:r>
        <w:rPr>
          <w:rFonts w:ascii="Aptos" w:hAnsi="Aptos" w:eastAsia="Microsoft YaHei"/>
          <w:color w:val="666666"/>
          <w:sz w:val="17"/>
        </w:rPr>
        <w:t xml:space="preserve">  |  2026.07–2026.08</w:t>
      </w:r>
      <w:r>
        <w:rPr>
          <w:rFonts w:ascii="Aptos" w:hAnsi="Aptos" w:eastAsia="Microsoft YaHei"/>
          <w:b/>
          <w:color w:val="2E75B6"/>
          <w:sz w:val="17"/>
        </w:rPr>
        <w:t xml:space="preserve">  [本地实验闭环]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以约 5K 行 Python 实现 provider-neutral ReAct runtime，覆盖硬预算、检索/重排、工具调用、确定性 verifier、checkpoint/journal/trace、记忆、multi-agent 状态图与漂移检测。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实现 Bearer 鉴权 HTTP JSON API 与可续传 SSE，覆盖限流、请求上限、路径 allowlist、断连恢复和硬并发排队；Docker sandbox 固化 non-root、read-only rootfs、cap-drop、no-network 与资源限制。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冻结三领域评测：FRAMES 60 题 18.3%（11/60，三次一致）、DABench 35 题 × 3 为 73.3% 均值、SWE-bench-Live 5 个 fresh task 为 0/5；负结果触发停止规则，避免继续污染验证集。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真实 Qwen2.5-7B Q4_K_M 服务在 1/4/8 并发下完成 72/72 非空响应，吞吐 5.52/16.80/18.62 req/s；90 项测试、strict mypy 与现场 Docker 安全测试通过。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17365D"/>
          <w:sz w:val="20"/>
        </w:rPr>
        <w:t>Hospital Workforce Platform</w:t>
      </w:r>
      <w:r>
        <w:rPr>
          <w:rFonts w:ascii="Aptos" w:hAnsi="Aptos" w:eastAsia="Microsoft YaHei"/>
          <w:b/>
          <w:color w:val="20242A"/>
          <w:sz w:val="19"/>
        </w:rPr>
        <w:t xml:space="preserve">  |  医院人力与排班平台的独立现代化重构</w:t>
      </w:r>
      <w:r>
        <w:rPr>
          <w:rFonts w:ascii="Aptos" w:hAnsi="Aptos" w:eastAsia="Microsoft YaHei"/>
          <w:color w:val="666666"/>
          <w:sz w:val="17"/>
        </w:rPr>
        <w:t xml:space="preserve">  |  2026.08</w:t>
      </w:r>
      <w:r>
        <w:rPr>
          <w:rFonts w:ascii="Aptos" w:hAnsi="Aptos" w:eastAsia="Microsoft YaHei"/>
          <w:b/>
          <w:color w:val="2E75B6"/>
          <w:sz w:val="17"/>
        </w:rPr>
        <w:t xml:space="preserve">  [工程实验闭环]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使用 Java 21/Spring Boot 模块化单体重构组织人事、排班、薪资、招聘、培训、审计与 RBAC；通过员工行悲观锁、重叠校验、数据库约束、乐观版本与幂等键保障排班并发安全。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搭建 MySQL/Redis/Keycloak/前后端/Prometheus/Grafana 七服务 Compose；7/7 后端测试通过。在 50 名员工、1,000 条排班的已认证查询负载下完成 16,746 请求、0% 错误、55.70 req/s、p95 5.83 ms。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真实性边界：该仓库是对 2021 年实习项目的后续个人重构，不应把 2026 年架构、容器化、压测和指标写成实习期间成果。</w:t>
      </w:r>
    </w:p>
    <w:p>
      <w:pPr>
        <w:pStyle w:val="Heading1"/>
        <w:pBdr>
          <w:bottom w:val="single" w:sz="6" w:space="1" w:color="B9C7D8"/>
        </w:pBdr>
      </w:pPr>
      <w:r>
        <w:t>教育背景</w:t>
      </w:r>
    </w:p>
    <w:p>
      <w:pPr>
        <w:numPr>
          <w:ilvl w:val="0"/>
          <w:numId w:val="10"/>
        </w:numPr>
        <w:spacing w:after="16" w:line="250" w:lineRule="auto"/>
        <w:shd w:val="clear" w:color="auto" w:fill="FFE699"/>
      </w:pPr>
      <w:r>
        <w:rPr>
          <w:rFonts w:ascii="Aptos" w:hAnsi="Aptos" w:eastAsia="Microsoft YaHei"/>
          <w:color w:val="20242A"/>
          <w:sz w:val="18"/>
        </w:rPr>
        <w:t>[学校全称]  |  [专业]  |  [学历]  |  [入学年月–毕业年月]  |  [GPA/排名/核心课程按需补充]</w:t>
      </w:r>
    </w:p>
    <w:p>
      <w:pPr>
        <w:pStyle w:val="Heading1"/>
        <w:pBdr>
          <w:bottom w:val="single" w:sz="6" w:space="1" w:color="B9C7D8"/>
        </w:pBdr>
      </w:pPr>
      <w:r>
        <w:t>实习经历</w:t>
      </w:r>
    </w:p>
    <w:p>
      <w:pPr>
        <w:pStyle w:val="Heading2"/>
        <w:shd w:val="clear" w:color="auto" w:fill="FFE699"/>
      </w:pPr>
      <w:r>
        <w:rPr>
          <w:rFonts w:ascii="Aptos" w:hAnsi="Aptos" w:eastAsia="Microsoft YaHei"/>
          <w:b/>
          <w:color w:val="17365D"/>
          <w:sz w:val="19"/>
        </w:rPr>
        <w:t>[公司全称]  |  [岗位名称]  |  2021.[月]–2021.[月]</w:t>
      </w:r>
    </w:p>
    <w:p>
      <w:pPr>
        <w:numPr>
          <w:ilvl w:val="0"/>
          <w:numId w:val="10"/>
        </w:numPr>
        <w:spacing w:after="16" w:line="250" w:lineRule="auto"/>
        <w:shd w:val="clear" w:color="auto" w:fill="FFE699"/>
      </w:pPr>
      <w:r>
        <w:rPr>
          <w:rFonts w:ascii="Aptos" w:hAnsi="Aptos" w:eastAsia="Microsoft YaHei"/>
          <w:color w:val="20242A"/>
          <w:sz w:val="18"/>
        </w:rPr>
        <w:t>参与医院人事管理系统相关开发；负责模块、技术栈、需求规模、协作方式和可核验成果均待依据原始材料补齐。</w:t>
      </w:r>
    </w:p>
    <w:p>
      <w:pPr>
        <w:pStyle w:val="Heading1"/>
        <w:pBdr>
          <w:bottom w:val="single" w:sz="6" w:space="1" w:color="B9C7D8"/>
        </w:pBdr>
      </w:pPr>
      <w:r>
        <w:t>补充信息</w:t>
      </w:r>
    </w:p>
    <w:p>
      <w:pPr>
        <w:numPr>
          <w:ilvl w:val="0"/>
          <w:numId w:val="10"/>
        </w:numPr>
        <w:spacing w:after="16" w:line="250" w:lineRule="auto"/>
        <w:shd w:val="clear" w:color="auto" w:fill="FFE699"/>
      </w:pPr>
      <w:r>
        <w:rPr>
          <w:rFonts w:ascii="Aptos" w:hAnsi="Aptos" w:eastAsia="Microsoft YaHei"/>
          <w:color w:val="20242A"/>
          <w:sz w:val="18"/>
        </w:rPr>
        <w:t>语言：[英语水平待补]；奖项/论文/证书：[待补或删除本栏]；作品集：四个项目均保留 README、实验记录、冻结结果与复现入口，公开链接待补。</w:t>
      </w:r>
    </w:p>
    <w:p>
      <w:r>
        <w:br w:type="page"/>
      </w:r>
    </w:p>
    <w:p>
      <w:pPr>
        <w:spacing w:after="60"/>
        <w:pBdr>
          <w:bottom w:val="single" w:sz="12" w:space="4" w:color="2E75B6"/>
        </w:pBdr>
      </w:pPr>
      <w:r>
        <w:rPr>
          <w:rFonts w:ascii="Aptos" w:hAnsi="Aptos" w:eastAsia="Microsoft YaHei"/>
          <w:b/>
          <w:color w:val="17365D"/>
          <w:sz w:val="40"/>
        </w:rPr>
        <w:t>审查附录｜问题定位与修正优先级</w:t>
      </w:r>
    </w:p>
    <w:p>
      <w:pPr>
        <w:pStyle w:val="AuditNote"/>
        <w:jc w:val="center"/>
        <w:shd w:val="clear" w:color="auto" w:fill="FFF2CC"/>
      </w:pPr>
      <w:r>
        <w:rPr>
          <w:rFonts w:ascii="Aptos" w:hAnsi="Aptos" w:eastAsia="Microsoft YaHei"/>
          <w:b/>
          <w:color w:val="9C0006"/>
          <w:sz w:val="18"/>
        </w:rPr>
        <w:t>本页仅用于内部审查，正式投递时整页删除。预测区间不是实验结论，也不是承诺值。</w:t>
      </w:r>
    </w:p>
    <w:p>
      <w:pPr>
        <w:pStyle w:val="Heading1"/>
        <w:pBdr>
          <w:bottom w:val="single" w:sz="6" w:space="1" w:color="B9C7D8"/>
        </w:pBdr>
      </w:pPr>
      <w:r>
        <w:t>必须先修（P0）</w:t>
      </w:r>
    </w:p>
    <w:p>
      <w:pPr>
        <w:pStyle w:val="AuditNote"/>
        <w:numPr>
          <w:ilvl w:val="0"/>
          <w:numId w:val="10"/>
        </w:numPr>
      </w:pPr>
      <w:r>
        <w:rPr>
          <w:rFonts w:ascii="Aptos" w:hAnsi="Aptos" w:eastAsia="Microsoft YaHei"/>
          <w:b/>
          <w:color w:val="9C0006"/>
          <w:sz w:val="18"/>
        </w:rPr>
        <w:t>[P0] 个人信息缺失：</w:t>
      </w:r>
      <w:r>
        <w:rPr>
          <w:rFonts w:ascii="Aptos" w:hAnsi="Aptos" w:eastAsia="Microsoft YaHei"/>
          <w:color w:val="20242A"/>
          <w:sz w:val="18"/>
        </w:rPr>
        <w:t>姓名、电话、邮箱、城市、GitHub/作品集链接均为空；这是当前版本无法投递的直接原因。</w:t>
      </w:r>
    </w:p>
    <w:p>
      <w:pPr>
        <w:pStyle w:val="AuditNote"/>
        <w:numPr>
          <w:ilvl w:val="0"/>
          <w:numId w:val="10"/>
        </w:numPr>
      </w:pPr>
      <w:r>
        <w:rPr>
          <w:rFonts w:ascii="Aptos" w:hAnsi="Aptos" w:eastAsia="Microsoft YaHei"/>
          <w:b/>
          <w:color w:val="9C0006"/>
          <w:sz w:val="18"/>
        </w:rPr>
        <w:t>[P0] 教育背景缺失：</w:t>
      </w:r>
      <w:r>
        <w:rPr>
          <w:rFonts w:ascii="Aptos" w:hAnsi="Aptos" w:eastAsia="Microsoft YaHei"/>
          <w:color w:val="20242A"/>
          <w:sz w:val="18"/>
        </w:rPr>
        <w:t>学校、专业、学历与时间决定岗位匹配和 ATS 筛选，必须提供真实信息；不建议由项目材料推断。</w:t>
      </w:r>
    </w:p>
    <w:p>
      <w:pPr>
        <w:pStyle w:val="AuditNote"/>
        <w:numPr>
          <w:ilvl w:val="0"/>
          <w:numId w:val="10"/>
        </w:numPr>
      </w:pPr>
      <w:r>
        <w:rPr>
          <w:rFonts w:ascii="Aptos" w:hAnsi="Aptos" w:eastAsia="Microsoft YaHei"/>
          <w:b/>
          <w:color w:val="9C0006"/>
          <w:sz w:val="18"/>
        </w:rPr>
        <w:t>[P0] 实习事实不完整：</w:t>
      </w:r>
      <w:r>
        <w:rPr>
          <w:rFonts w:ascii="Aptos" w:hAnsi="Aptos" w:eastAsia="Microsoft YaHei"/>
          <w:color w:val="20242A"/>
          <w:sz w:val="18"/>
        </w:rPr>
        <w:t>需补公司全称、岗位、起止年月、真实职责与成果；必须把 2021 年工作和 2026 年个人重构严格拆开。</w:t>
      </w:r>
    </w:p>
    <w:p>
      <w:pPr>
        <w:pStyle w:val="AuditNote"/>
        <w:numPr>
          <w:ilvl w:val="0"/>
          <w:numId w:val="10"/>
        </w:numPr>
      </w:pPr>
      <w:r>
        <w:rPr>
          <w:rFonts w:ascii="Aptos" w:hAnsi="Aptos" w:eastAsia="Microsoft YaHei"/>
          <w:b/>
          <w:color w:val="9C0006"/>
          <w:sz w:val="18"/>
        </w:rPr>
        <w:t>[P0] 预测值不可直接投递：</w:t>
      </w:r>
      <w:r>
        <w:rPr>
          <w:rFonts w:ascii="Aptos" w:hAnsi="Aptos" w:eastAsia="Microsoft YaHei"/>
          <w:color w:val="20242A"/>
          <w:sz w:val="18"/>
        </w:rPr>
        <w:t>ForgeMM 与 DriveVLA-Guard 的黄色条目只能作为审查目标。正式结果出来后，按相同实验协议替换；未达门槛则改写为工程闭环或负结果。</w:t>
      </w:r>
    </w:p>
    <w:p>
      <w:pPr>
        <w:pStyle w:val="Heading1"/>
        <w:pBdr>
          <w:bottom w:val="single" w:sz="6" w:space="1" w:color="B9C7D8"/>
        </w:pBdr>
      </w:pPr>
      <w:r>
        <w:t>内容优化（P1）</w:t>
      </w:r>
    </w:p>
    <w:p>
      <w:pPr>
        <w:pStyle w:val="AuditNote"/>
        <w:numPr>
          <w:ilvl w:val="0"/>
          <w:numId w:val="10"/>
        </w:numPr>
      </w:pPr>
      <w:r>
        <w:rPr>
          <w:rFonts w:ascii="Aptos" w:hAnsi="Aptos" w:eastAsia="Microsoft YaHei"/>
          <w:b/>
          <w:color w:val="17365D"/>
          <w:sz w:val="18"/>
        </w:rPr>
        <w:t>[P1] 目标岗位尚未单一化：</w:t>
      </w:r>
      <w:r>
        <w:rPr>
          <w:rFonts w:ascii="Aptos" w:hAnsi="Aptos" w:eastAsia="Microsoft YaHei"/>
          <w:color w:val="20242A"/>
          <w:sz w:val="18"/>
        </w:rPr>
        <w:t>当前同时覆盖多模态后训练、Agent 与 VLA。投递时建议至少派生两个版本：多模态/VLA 算法版、Agent/AI 系统版。</w:t>
      </w:r>
    </w:p>
    <w:p>
      <w:pPr>
        <w:pStyle w:val="AuditNote"/>
        <w:numPr>
          <w:ilvl w:val="0"/>
          <w:numId w:val="10"/>
        </w:numPr>
      </w:pPr>
      <w:r>
        <w:rPr>
          <w:rFonts w:ascii="Aptos" w:hAnsi="Aptos" w:eastAsia="Microsoft YaHei"/>
          <w:b/>
          <w:color w:val="17365D"/>
          <w:sz w:val="18"/>
        </w:rPr>
        <w:t>[P1] 项目过多：</w:t>
      </w:r>
      <w:r>
        <w:rPr>
          <w:rFonts w:ascii="Aptos" w:hAnsi="Aptos" w:eastAsia="Microsoft YaHei"/>
          <w:color w:val="20242A"/>
          <w:sz w:val="18"/>
        </w:rPr>
        <w:t>正文保留四个项目便于当前审查；正式两页版可按岗位删除最低相关项目，并将最相关项目扩展为 4 条高密度要点。</w:t>
      </w:r>
    </w:p>
    <w:p>
      <w:pPr>
        <w:pStyle w:val="AuditNote"/>
        <w:numPr>
          <w:ilvl w:val="0"/>
          <w:numId w:val="10"/>
        </w:numPr>
      </w:pPr>
      <w:r>
        <w:rPr>
          <w:rFonts w:ascii="Aptos" w:hAnsi="Aptos" w:eastAsia="Microsoft YaHei"/>
          <w:b/>
          <w:color w:val="17365D"/>
          <w:sz w:val="18"/>
        </w:rPr>
        <w:t>[P1] 链接与演示缺失：</w:t>
      </w:r>
      <w:r>
        <w:rPr>
          <w:rFonts w:ascii="Aptos" w:hAnsi="Aptos" w:eastAsia="Microsoft YaHei"/>
          <w:color w:val="20242A"/>
          <w:sz w:val="18"/>
        </w:rPr>
        <w:t>为每个保留项目补 GitHub、README、结果报告或 2–3 分钟演示链接；公开前做许可证、密钥与大文件检查。</w:t>
      </w:r>
    </w:p>
    <w:p>
      <w:pPr>
        <w:pStyle w:val="AuditNote"/>
        <w:numPr>
          <w:ilvl w:val="0"/>
          <w:numId w:val="10"/>
        </w:numPr>
      </w:pPr>
      <w:r>
        <w:rPr>
          <w:rFonts w:ascii="Aptos" w:hAnsi="Aptos" w:eastAsia="Microsoft YaHei"/>
          <w:b/>
          <w:color w:val="17365D"/>
          <w:sz w:val="18"/>
        </w:rPr>
        <w:t>[P1] 数字需带口径：</w:t>
      </w:r>
      <w:r>
        <w:rPr>
          <w:rFonts w:ascii="Aptos" w:hAnsi="Aptos" w:eastAsia="Microsoft YaHei"/>
          <w:color w:val="20242A"/>
          <w:sz w:val="18"/>
        </w:rPr>
        <w:t>保留样本量、数据集、重复次数和测试环境；不要把 smoke、合成代理、查询压测或模型服务吞吐泛化成生产能力。</w:t>
      </w:r>
    </w:p>
    <w:p>
      <w:pPr>
        <w:pStyle w:val="Heading1"/>
        <w:pBdr>
          <w:bottom w:val="single" w:sz="6" w:space="1" w:color="B9C7D8"/>
        </w:pBdr>
      </w:pPr>
      <w:r>
        <w:t>预测结果回填规则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ForgeMM：只在 E3/E5 同起点、同数据、三种子、冻结 test 与统计检验完成后填写 FCR、Evidence F1、Operation Consistency 和 accuracy；优先填真实差值与置信区间。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DriveVLA-Guard：先完成官方 AutoVLA/NAVSIM B0 对齐，再在同一 manifest 上比较 E2；只有安全子指标改善且 EP/Comfort 可接受时才继续 E3/E4。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若预测失败：删除预测数字，保留可验证工程成果、失败原因、停止规则和下一步修正，不用调参后的最好单次结果替代预注册矩阵。</w:t>
      </w:r>
    </w:p>
    <w:p>
      <w:pPr>
        <w:pStyle w:val="Heading1"/>
        <w:pBdr>
          <w:bottom w:val="single" w:sz="6" w:space="1" w:color="B9C7D8"/>
        </w:pBdr>
      </w:pPr>
      <w:r>
        <w:t>建议的下一轮输入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提供一份目标 JD，以及姓名/联系方式/城市、教育背景、2021 实习原始经历、英语/奖项/论文信息；据此生成真正可投递的定向版本。</w:t>
      </w:r>
    </w:p>
    <w:p>
      <w:pPr>
        <w:numPr>
          <w:ilvl w:val="0"/>
          <w:numId w:val="10"/>
        </w:numPr>
        <w:spacing w:after="16" w:line="250" w:lineRule="auto"/>
      </w:pPr>
      <w:r>
        <w:rPr>
          <w:rFonts w:ascii="Aptos" w:hAnsi="Aptos" w:eastAsia="Microsoft YaHei"/>
          <w:color w:val="20242A"/>
          <w:sz w:val="18"/>
        </w:rPr>
        <w:t>确认公开仓库与作品集 URL；如果暂未公开，正文先删除链接字段，避免留下明显占位符。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Microsoft YaHei"/>
        <w:color w:val="666666"/>
        <w:sz w:val="16"/>
      </w:rPr>
      <w:t>内部审查版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88"/>
        </w:tabs>
        <w:ind w:left="388" w:hanging="230"/>
        <w:spacing w:after="16" w:line="259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0" w:lineRule="auto"/>
    </w:pPr>
    <w:rPr>
      <w:rFonts w:ascii="Aptos" w:hAnsi="Aptos" w:eastAsia="Microsoft YaHei"/>
      <w:color w:val="2024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Meta">
    <w:name w:val="Resume Meta"/>
    <w:pPr>
      <w:spacing w:before="0" w:after="20" w:line="240" w:lineRule="auto"/>
    </w:pPr>
    <w:rPr>
      <w:rFonts w:ascii="Microsoft YaHei" w:hAnsi="Microsoft YaHei"/>
      <w:color w:val="666666"/>
      <w:sz w:val="17"/>
    </w:rPr>
  </w:style>
  <w:style w:type="paragraph" w:customStyle="1" w:styleId="AuditNote">
    <w:name w:val="Audit Note"/>
    <w:pPr>
      <w:spacing w:before="0" w:after="80" w:line="269" w:lineRule="auto"/>
    </w:pPr>
    <w:rPr>
      <w:rFonts w:ascii="Microsoft YaHei" w:hAnsi="Microsoft YaHei"/>
      <w:color w:val="2024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个人简历｜内部审查预测版 v0.1</dc:title>
  <dc:subject>多模态、Agent Runtime、VLA 项目简历审查稿</dc:subject>
  <dc:creator>Candidate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