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智能纪要：优惠券信息传达方案讨论 2026年7月31日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录音主题：优惠券信息传达方案讨论</w:t>
            </w:r>
          </w:p>
          <w:p>
            <w:pPr>
              <w:spacing w:before="120" w:after="120" w:line="288" w:lineRule="auto"/>
              <w:ind w:left="0"/>
              <w:jc w:val="left"/>
            </w:pPr>
            <w:r>
              <w:rPr>
                <w:rFonts w:eastAsia="等线" w:ascii="Arial" w:cs="Arial" w:hAnsi="Arial"/>
                <w:color w:val="646a73"/>
                <w:sz w:val="22"/>
              </w:rPr>
              <w:t>录音时间：2026年7月31日（周五） 17:11 - 18:47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00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音频围绕墨西哥市场借贷产品优惠券信息传达效率提升开展头脑风暴，明确落地路径与权责划分，内容如下：</w:t>
      </w:r>
    </w:p>
    <w:p>
      <w:pPr>
        <w:numPr>
          <w:numId w:val="1"/>
        </w:numPr>
        <w:spacing w:before="120" w:after="120" w:line="288" w:lineRule="auto"/>
        <w:ind w:left="0"/>
        <w:jc w:val="left"/>
      </w:pPr>
      <w:r>
        <w:rPr>
          <w:rFonts w:eastAsia="等线" w:ascii="Arial" w:cs="Arial" w:hAnsi="Arial"/>
          <w:b w:val="true"/>
          <w:sz w:val="22"/>
        </w:rPr>
        <w:t>业务背景与核心逻辑</w:t>
      </w:r>
    </w:p>
    <w:p>
      <w:pPr>
        <w:numPr>
          <w:numId w:val="2"/>
        </w:numPr>
        <w:spacing w:before="120" w:after="120" w:line="288" w:lineRule="auto"/>
        <w:ind w:left="453"/>
        <w:jc w:val="left"/>
      </w:pPr>
      <w:r>
        <w:rPr>
          <w:rFonts w:eastAsia="等线" w:ascii="Arial" w:cs="Arial" w:hAnsi="Arial"/>
          <w:b w:val="true"/>
          <w:sz w:val="22"/>
        </w:rPr>
        <w:t>运营阶段判断</w:t>
      </w:r>
    </w:p>
    <w:p>
      <w:pPr>
        <w:numPr>
          <w:numId w:val="3"/>
        </w:numPr>
        <w:spacing w:before="120" w:after="120" w:line="288" w:lineRule="auto"/>
        <w:ind w:left="907"/>
        <w:jc w:val="left"/>
      </w:pPr>
      <w:r>
        <w:rPr>
          <w:rFonts w:eastAsia="等线" w:ascii="Arial" w:cs="Arial" w:hAnsi="Arial"/>
          <w:sz w:val="22"/>
        </w:rPr>
        <w:t>新客转化天花板：当前新客转化数据已达 90% 以上，粗放式运营已无明显提升空间，需转向精细化运营挖潜用户价值。</w:t>
      </w:r>
    </w:p>
    <w:p>
      <w:pPr>
        <w:numPr>
          <w:numId w:val="4"/>
        </w:numPr>
        <w:spacing w:before="120" w:after="120" w:line="288" w:lineRule="auto"/>
        <w:ind w:left="907"/>
        <w:jc w:val="left"/>
      </w:pPr>
      <w:r>
        <w:rPr>
          <w:rFonts w:eastAsia="等线" w:ascii="Arial" w:cs="Arial" w:hAnsi="Arial"/>
          <w:sz w:val="22"/>
        </w:rPr>
        <w:t>无需求用户运营低效：针对本身无借款需求的用户强行创造需求，运营ROI极低，很难撬动用户转化，投入产出比不划算。</w:t>
      </w:r>
    </w:p>
    <w:p>
      <w:pPr>
        <w:numPr>
          <w:numId w:val="5"/>
        </w:numPr>
        <w:spacing w:before="120" w:after="120" w:line="288" w:lineRule="auto"/>
        <w:ind w:left="907"/>
        <w:jc w:val="left"/>
      </w:pPr>
      <w:r>
        <w:rPr>
          <w:rFonts w:eastAsia="等线" w:ascii="Arial" w:cs="Arial" w:hAnsi="Arial"/>
          <w:sz w:val="22"/>
        </w:rPr>
        <w:t>有需求用户触达不足：针对本身有借款需求但不知道产品权益的用户，当前触达不到位，大量用户流失给同利率层级的竞品。</w:t>
      </w:r>
    </w:p>
    <w:p>
      <w:pPr>
        <w:numPr>
          <w:numId w:val="6"/>
        </w:numPr>
        <w:spacing w:before="120" w:after="120" w:line="288" w:lineRule="auto"/>
        <w:ind w:left="907"/>
        <w:jc w:val="left"/>
      </w:pPr>
      <w:r>
        <w:rPr>
          <w:rFonts w:eastAsia="等线" w:ascii="Arial" w:cs="Arial" w:hAnsi="Arial"/>
          <w:sz w:val="22"/>
        </w:rPr>
        <w:t>核心矛盾定位：精细化运营核心是解决用户有需求但不知晓产品权益的信息差，同利率同品牌竞品的核心竞争力为信息触达效率。</w:t>
      </w:r>
    </w:p>
    <w:p>
      <w:pPr>
        <w:numPr>
          <w:numId w:val="7"/>
        </w:numPr>
        <w:spacing w:before="120" w:after="120" w:line="288" w:lineRule="auto"/>
        <w:ind w:left="453"/>
        <w:jc w:val="left"/>
      </w:pPr>
      <w:r>
        <w:rPr>
          <w:rFonts w:eastAsia="等线" w:ascii="Arial" w:cs="Arial" w:hAnsi="Arial"/>
          <w:b w:val="true"/>
          <w:sz w:val="22"/>
        </w:rPr>
        <w:t>现有痛点梳理</w:t>
      </w:r>
    </w:p>
    <w:p>
      <w:pPr>
        <w:numPr>
          <w:numId w:val="8"/>
        </w:numPr>
        <w:spacing w:before="120" w:after="120" w:line="288" w:lineRule="auto"/>
        <w:ind w:left="907"/>
        <w:jc w:val="left"/>
      </w:pPr>
      <w:r>
        <w:rPr>
          <w:rFonts w:eastAsia="等线" w:ascii="Arial" w:cs="Arial" w:hAnsi="Arial"/>
          <w:sz w:val="22"/>
        </w:rPr>
        <w:t>触达形式单一：当前仅通过单一弹窗告知用户有券，用户仅能在个人中心查看券信息，整体信息传达效率极低。</w:t>
      </w:r>
    </w:p>
    <w:p>
      <w:pPr>
        <w:numPr>
          <w:numId w:val="9"/>
        </w:numPr>
        <w:spacing w:before="120" w:after="120" w:line="288" w:lineRule="auto"/>
        <w:ind w:left="907"/>
        <w:jc w:val="left"/>
      </w:pPr>
      <w:r>
        <w:rPr>
          <w:rFonts w:eastAsia="等线" w:ascii="Arial" w:cs="Arial" w:hAnsi="Arial"/>
          <w:sz w:val="22"/>
        </w:rPr>
        <w:t>权益展示粗糙：当前优惠券仅以干巴巴的文字展示，优惠前后的利息对比需用户手动展开还款计划才能查看，用户感知极弱。</w:t>
      </w:r>
    </w:p>
    <w:p>
      <w:pPr>
        <w:numPr>
          <w:numId w:val="10"/>
        </w:numPr>
        <w:spacing w:before="120" w:after="120" w:line="288" w:lineRule="auto"/>
        <w:ind w:left="907"/>
        <w:jc w:val="left"/>
      </w:pPr>
      <w:r>
        <w:rPr>
          <w:rFonts w:eastAsia="等线" w:ascii="Arial" w:cs="Arial" w:hAnsi="Arial"/>
          <w:sz w:val="22"/>
        </w:rPr>
        <w:t>发券规则明确：当前核心发放固定比例利息折扣券，按比例抵扣借款利息并设置最高抵扣上限，暂不发放其他类型优惠券。</w:t>
      </w:r>
    </w:p>
    <w:p>
      <w:pPr>
        <w:numPr>
          <w:numId w:val="11"/>
        </w:numPr>
        <w:spacing w:before="120" w:after="120" w:line="288" w:lineRule="auto"/>
        <w:ind w:left="907"/>
        <w:jc w:val="left"/>
      </w:pPr>
      <w:r>
        <w:rPr>
          <w:rFonts w:eastAsia="等线" w:ascii="Arial" w:cs="Arial" w:hAnsi="Arial"/>
          <w:sz w:val="22"/>
        </w:rPr>
        <w:t>竞品竞争加剧：当前借贷市场鱼龙混杂，同利率、同品牌层级的竞品均在加大信息触达力度，触达不到位会直接导致用户流失。</w:t>
      </w:r>
    </w:p>
    <w:p>
      <w:pPr>
        <w:numPr>
          <w:numId w:val="12"/>
        </w:numPr>
        <w:spacing w:before="120" w:after="120" w:line="288" w:lineRule="auto"/>
        <w:ind w:left="453"/>
        <w:jc w:val="left"/>
      </w:pPr>
      <w:r>
        <w:rPr>
          <w:rFonts w:eastAsia="等线" w:ascii="Arial" w:cs="Arial" w:hAnsi="Arial"/>
          <w:b w:val="true"/>
          <w:sz w:val="22"/>
        </w:rPr>
        <w:t>权责边界划分</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719"/>
        <w:gridCol w:w="3560"/>
      </w:tblGrid>
      <w:tr>
        <w:tc>
          <w:tcPr>
            <w:tcW w:w="4719"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端外职责清晰：端外由龙哥团队负责发券、通过短信push等渠道引导用户打开APP，核心考核指标为APP打开率。</w:t>
            </w:r>
          </w:p>
          <w:p>
            <w:pPr>
              <w:numPr>
                <w:numId w:val="14"/>
              </w:numPr>
              <w:spacing w:before="120" w:after="120" w:line="288" w:lineRule="auto"/>
              <w:ind w:left="0"/>
              <w:jc w:val="left"/>
            </w:pPr>
            <w:r>
              <w:rPr>
                <w:rFonts w:eastAsia="等线" w:ascii="Arial" w:cs="Arial" w:hAnsi="Arial"/>
                <w:sz w:val="22"/>
              </w:rPr>
              <w:t>端内职责明确：用户打开APP后的券信息触达、用户旅程节点适配由当前团队负责，核心考核指标为优惠券使用率。</w:t>
            </w:r>
          </w:p>
        </w:tc>
        <w:tc>
          <w:tcPr>
            <w:tcW w:w="3560" w:type="dxa"/>
            <w:tcMar>
              <w:top w:type="dxa" w:w="60"/>
              <w:left w:type="dxa" w:w="120"/>
              <w:bottom w:type="dxa" w:w="30"/>
              <w:right w:type="dxa" w:w="120"/>
            </w:tcMar>
          </w:tcPr>
          <w:p>
            <w:pPr>
              <w:spacing w:before="120" w:after="120" w:line="288" w:lineRule="auto"/>
              <w:ind w:left="0"/>
              <w:jc w:val="center"/>
            </w:pPr>
            <w:r>
              <w:drawing>
                <wp:inline distT="0" distR="0" distB="0" distL="0">
                  <wp:extent cx="2105025" cy="904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105025" cy="9048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端内外团队权责划分表</w:t>
              <w:br/>
            </w:r>
          </w:p>
        </w:tc>
      </w:tr>
    </w:tbl>
    <w:p>
      <w:pPr>
        <w:numPr>
          <w:numId w:val="15"/>
        </w:numPr>
        <w:spacing w:before="120" w:after="120" w:line="288" w:lineRule="auto"/>
        <w:ind w:left="0"/>
        <w:jc w:val="left"/>
      </w:pPr>
      <w:r>
        <w:rPr>
          <w:rFonts w:eastAsia="等线" w:ascii="Arial" w:cs="Arial" w:hAnsi="Arial"/>
          <w:b w:val="true"/>
          <w:sz w:val="22"/>
        </w:rPr>
        <w:t>核心落地节点规划</w:t>
      </w:r>
    </w:p>
    <w:p>
      <w:pPr>
        <w:numPr>
          <w:numId w:val="16"/>
        </w:numPr>
        <w:spacing w:before="120" w:after="120" w:line="288" w:lineRule="auto"/>
        <w:ind w:left="453"/>
        <w:jc w:val="left"/>
      </w:pPr>
      <w:r>
        <w:rPr>
          <w:rFonts w:eastAsia="等线" w:ascii="Arial" w:cs="Arial" w:hAnsi="Arial"/>
          <w:b w:val="true"/>
          <w:sz w:val="22"/>
        </w:rPr>
        <w:t>优先落地节点</w:t>
      </w:r>
    </w:p>
    <w:p>
      <w:pPr>
        <w:numPr>
          <w:numId w:val="17"/>
        </w:numPr>
        <w:spacing w:before="120" w:after="120" w:line="288" w:lineRule="auto"/>
        <w:ind w:left="907"/>
        <w:jc w:val="left"/>
      </w:pPr>
      <w:r>
        <w:rPr>
          <w:rFonts w:eastAsia="等线" w:ascii="Arial" w:cs="Arial" w:hAnsi="Arial"/>
          <w:b w:val="true"/>
          <w:sz w:val="22"/>
        </w:rPr>
        <w:t>退出流程挽留触达</w:t>
      </w:r>
    </w:p>
    <w:p>
      <w:pPr>
        <w:numPr>
          <w:numId w:val="18"/>
        </w:numPr>
        <w:spacing w:before="120" w:after="120" w:line="288" w:lineRule="auto"/>
        <w:ind w:left="1360"/>
        <w:jc w:val="left"/>
      </w:pPr>
      <w:r>
        <w:rPr>
          <w:rFonts w:eastAsia="等线" w:ascii="Arial" w:cs="Arial" w:hAnsi="Arial"/>
          <w:sz w:val="22"/>
        </w:rPr>
        <w:t>弹窗内容方向：挽留弹窗的核心内容为告知用户已有专属优惠券，完成后续流程即可使用，无需额外设置复杂的用户动作。</w:t>
      </w:r>
    </w:p>
    <w:p>
      <w:pPr>
        <w:numPr>
          <w:numId w:val="19"/>
        </w:numPr>
        <w:spacing w:before="120" w:after="120" w:line="288" w:lineRule="auto"/>
        <w:ind w:left="1360"/>
        <w:jc w:val="left"/>
      </w:pPr>
      <w:r>
        <w:rPr>
          <w:rFonts w:eastAsia="等线" w:ascii="Arial" w:cs="Arial" w:hAnsi="Arial"/>
          <w:sz w:val="22"/>
        </w:rPr>
        <w:t>流程衔接规则：若用户点击弹窗内的引导按钮，直接跳转至对应实名、出额流程，无需用户二次操作，减少操作路径。</w:t>
      </w:r>
    </w:p>
    <w:p>
      <w:pPr>
        <w:numPr>
          <w:numId w:val="20"/>
        </w:numPr>
        <w:spacing w:before="120" w:after="120" w:line="288" w:lineRule="auto"/>
        <w:ind w:left="907"/>
        <w:jc w:val="left"/>
      </w:pPr>
      <w:r>
        <w:rPr>
          <w:rFonts w:eastAsia="等线" w:ascii="Arial" w:cs="Arial" w:hAnsi="Arial"/>
          <w:b w:val="true"/>
          <w:sz w:val="22"/>
        </w:rPr>
        <w:t>未出额首页触达</w:t>
      </w:r>
    </w:p>
    <w:p>
      <w:pPr>
        <w:numPr>
          <w:numId w:val="21"/>
        </w:numPr>
        <w:spacing w:before="120" w:after="120" w:line="288" w:lineRule="auto"/>
        <w:ind w:left="1360"/>
        <w:jc w:val="left"/>
      </w:pPr>
      <w:r>
        <w:rPr>
          <w:rFonts w:eastAsia="等线" w:ascii="Arial" w:cs="Arial" w:hAnsi="Arial"/>
          <w:sz w:val="22"/>
        </w:rPr>
        <w:t>触达触发条件：仅针对账户内已有可用优惠券的用户触发，无券用户不做额外触达，避免不必要的资源浪费与用户打扰。</w:t>
      </w:r>
    </w:p>
    <w:p>
      <w:pPr>
        <w:numPr>
          <w:numId w:val="22"/>
        </w:numPr>
        <w:spacing w:before="120" w:after="120" w:line="288" w:lineRule="auto"/>
        <w:ind w:left="1360"/>
        <w:jc w:val="left"/>
      </w:pPr>
      <w:r>
        <w:rPr>
          <w:rFonts w:eastAsia="等线" w:ascii="Arial" w:cs="Arial" w:hAnsi="Arial"/>
          <w:sz w:val="22"/>
        </w:rPr>
        <w:t>引导动作设计：触达内容明确引导用户完成实名动作，告知用户实名后即可解锁对应优惠券的使用权限，提升实名完成率。</w:t>
      </w:r>
    </w:p>
    <w:p>
      <w:pPr>
        <w:numPr>
          <w:numId w:val="23"/>
        </w:numPr>
        <w:spacing w:before="120" w:after="120" w:line="288" w:lineRule="auto"/>
        <w:ind w:left="453"/>
        <w:jc w:val="left"/>
      </w:pPr>
      <w:r>
        <w:rPr>
          <w:rFonts w:eastAsia="等线" w:ascii="Arial" w:cs="Arial" w:hAnsi="Arial"/>
          <w:b w:val="true"/>
          <w:sz w:val="22"/>
        </w:rPr>
        <w:t>暂不落地节点</w:t>
      </w:r>
    </w:p>
    <w:p>
      <w:pPr>
        <w:numPr>
          <w:numId w:val="24"/>
        </w:numPr>
        <w:spacing w:before="120" w:after="120" w:line="288" w:lineRule="auto"/>
        <w:ind w:left="907"/>
        <w:jc w:val="left"/>
      </w:pPr>
      <w:r>
        <w:rPr>
          <w:rFonts w:eastAsia="等线" w:ascii="Arial" w:cs="Arial" w:hAnsi="Arial"/>
          <w:sz w:val="22"/>
        </w:rPr>
        <w:t>全节点全覆盖触达：暂不做用户正常转化流程的中途触达、全页面全节点铺触达，避免对正常转化用户造成不必要的打扰。</w:t>
      </w:r>
    </w:p>
    <w:p>
      <w:pPr>
        <w:numPr>
          <w:numId w:val="25"/>
        </w:numPr>
        <w:spacing w:before="120" w:after="120" w:line="288" w:lineRule="auto"/>
        <w:ind w:left="907"/>
        <w:jc w:val="left"/>
      </w:pPr>
      <w:r>
        <w:rPr>
          <w:rFonts w:eastAsia="等线" w:ascii="Arial" w:cs="Arial" w:hAnsi="Arial"/>
          <w:sz w:val="22"/>
        </w:rPr>
        <w:t>非首贷场景触达：暂不覆盖还款、复借、沉睡用户的券触达场景，相关方案留到后续迭代阶段再做统一规划。</w:t>
      </w:r>
    </w:p>
    <w:p>
      <w:pPr>
        <w:numPr>
          <w:numId w:val="26"/>
        </w:numPr>
        <w:spacing w:before="120" w:after="120" w:line="288" w:lineRule="auto"/>
        <w:ind w:left="907"/>
        <w:jc w:val="left"/>
      </w:pPr>
      <w:r>
        <w:rPr>
          <w:rFonts w:eastAsia="等线" w:ascii="Arial" w:cs="Arial" w:hAnsi="Arial"/>
          <w:sz w:val="22"/>
        </w:rPr>
        <w:t>高成本非必要节点：暂不落地开屏动画触达、多页面重复触达等方案，严格控制开发成本，优先验证核心节点的效果。</w:t>
      </w:r>
    </w:p>
    <w:p>
      <w:pPr>
        <w:numPr>
          <w:numId w:val="27"/>
        </w:numPr>
        <w:spacing w:before="120" w:after="120" w:line="288" w:lineRule="auto"/>
        <w:ind w:left="907"/>
        <w:jc w:val="left"/>
      </w:pPr>
      <w:r>
        <w:rPr>
          <w:rFonts w:eastAsia="等线" w:ascii="Arial" w:cs="Arial" w:hAnsi="Arial"/>
          <w:sz w:val="22"/>
        </w:rPr>
        <w:t>复杂权益体系搭建：暂不搭建多类型、多档位的复杂优惠券权益体系，当前核心聚焦固定比例折扣券的触达优化，避免分散资源。</w:t>
      </w:r>
    </w:p>
    <w:p>
      <w:pPr>
        <w:numPr>
          <w:numId w:val="28"/>
        </w:numPr>
        <w:spacing w:before="120" w:after="120" w:line="288" w:lineRule="auto"/>
        <w:ind w:left="0"/>
        <w:jc w:val="left"/>
      </w:pPr>
      <w:r>
        <w:rPr>
          <w:rFonts w:eastAsia="等线" w:ascii="Arial" w:cs="Arial" w:hAnsi="Arial"/>
          <w:b w:val="true"/>
          <w:sz w:val="22"/>
        </w:rPr>
        <w:t>触达形式与内容设计</w:t>
      </w:r>
    </w:p>
    <w:p>
      <w:pPr>
        <w:numPr>
          <w:numId w:val="29"/>
        </w:numPr>
        <w:spacing w:before="120" w:after="120" w:line="288" w:lineRule="auto"/>
        <w:ind w:left="453"/>
        <w:jc w:val="left"/>
      </w:pPr>
      <w:r>
        <w:rPr>
          <w:rFonts w:eastAsia="等线" w:ascii="Arial" w:cs="Arial" w:hAnsi="Arial"/>
          <w:b w:val="true"/>
          <w:sz w:val="22"/>
        </w:rPr>
        <w:t>成熟方案复用方向</w:t>
      </w:r>
    </w:p>
    <w:p>
      <w:pPr>
        <w:numPr>
          <w:numId w:val="30"/>
        </w:numPr>
        <w:spacing w:before="120" w:after="120" w:line="288" w:lineRule="auto"/>
        <w:ind w:left="907"/>
        <w:jc w:val="left"/>
      </w:pPr>
      <w:r>
        <w:rPr>
          <w:rFonts w:eastAsia="等线" w:ascii="Arial" w:cs="Arial" w:hAnsi="Arial"/>
          <w:sz w:val="22"/>
        </w:rPr>
        <w:t>参考电商产品逻辑：明确要求团队参考淘宝等成熟电商的券触达逻辑，包括浮标、底部常驻提示、凑单引导、优惠前后对比等形式，直接适配当前借贷业务场景。</w:t>
      </w:r>
    </w:p>
    <w:p>
      <w:pPr>
        <w:numPr>
          <w:numId w:val="31"/>
        </w:numPr>
        <w:spacing w:before="120" w:after="120" w:line="288" w:lineRule="auto"/>
        <w:ind w:left="907"/>
        <w:jc w:val="left"/>
      </w:pPr>
      <w:r>
        <w:rPr>
          <w:rFonts w:eastAsia="等线" w:ascii="Arial" w:cs="Arial" w:hAnsi="Arial"/>
          <w:sz w:val="22"/>
        </w:rPr>
        <w:t>形式选型原则：所有复用的形式无需完全照搬，需结合当前借贷产品的业务场景做适配调整，避免出现与业务逻辑不符的内容。</w:t>
      </w:r>
    </w:p>
    <w:p>
      <w:pPr>
        <w:numPr>
          <w:numId w:val="32"/>
        </w:numPr>
        <w:spacing w:before="120" w:after="120" w:line="288" w:lineRule="auto"/>
        <w:ind w:left="453"/>
        <w:jc w:val="left"/>
      </w:pPr>
      <w:r>
        <w:rPr>
          <w:rFonts w:eastAsia="等线" w:ascii="Arial" w:cs="Arial" w:hAnsi="Arial"/>
          <w:b w:val="true"/>
          <w:sz w:val="22"/>
        </w:rPr>
        <w:t>优先落地形式</w:t>
      </w:r>
    </w:p>
    <w:p>
      <w:pPr>
        <w:numPr>
          <w:numId w:val="33"/>
        </w:numPr>
        <w:spacing w:before="120" w:after="120" w:line="288" w:lineRule="auto"/>
        <w:ind w:left="907"/>
        <w:jc w:val="left"/>
      </w:pPr>
      <w:r>
        <w:rPr>
          <w:rFonts w:eastAsia="等线" w:ascii="Arial" w:cs="Arial" w:hAnsi="Arial"/>
          <w:sz w:val="22"/>
        </w:rPr>
        <w:t>低门槛互动形式：优先落地翻牌、刮刮乐类互动形式，无需额外提供非券类权益，开发成本低，可将现有固定比例券包装为用户专属中奖权益。</w:t>
      </w:r>
    </w:p>
    <w:p>
      <w:pPr>
        <w:numPr>
          <w:numId w:val="34"/>
        </w:numPr>
        <w:spacing w:before="120" w:after="120" w:line="288" w:lineRule="auto"/>
        <w:ind w:left="907"/>
        <w:jc w:val="left"/>
      </w:pPr>
      <w:r>
        <w:rPr>
          <w:rFonts w:eastAsia="等线" w:ascii="Arial" w:cs="Arial" w:hAnsi="Arial"/>
          <w:sz w:val="22"/>
        </w:rPr>
        <w:t>凑单门槛引导：参考淘宝满减凑单逻辑，当用户借款金额未达券使用门槛时，明确告知用户提额至对应档位可抵扣更多利息，引导满足用券条件。</w:t>
      </w:r>
    </w:p>
    <w:p>
      <w:pPr>
        <w:numPr>
          <w:numId w:val="35"/>
        </w:numPr>
        <w:spacing w:before="120" w:after="120" w:line="288" w:lineRule="auto"/>
        <w:ind w:left="907"/>
        <w:jc w:val="left"/>
      </w:pPr>
      <w:r>
        <w:rPr>
          <w:rFonts w:eastAsia="等线" w:ascii="Arial" w:cs="Arial" w:hAnsi="Arial"/>
          <w:sz w:val="22"/>
        </w:rPr>
        <w:t>时效紧迫感营造：在触达内容中明确标注优惠券到期时间，利用用户损失厌恶心理，倒逼用户尽快完成用券动作，提升转化效率。</w:t>
      </w:r>
    </w:p>
    <w:p>
      <w:pPr>
        <w:numPr>
          <w:numId w:val="36"/>
        </w:numPr>
        <w:spacing w:before="120" w:after="120" w:line="288" w:lineRule="auto"/>
        <w:ind w:left="907"/>
        <w:jc w:val="left"/>
      </w:pPr>
      <w:r>
        <w:rPr>
          <w:rFonts w:eastAsia="等线" w:ascii="Arial" w:cs="Arial" w:hAnsi="Arial"/>
          <w:sz w:val="22"/>
        </w:rPr>
        <w:t>优惠对比展示：在用户借款确认页面，直接展示使用优惠券前后的利息差额，无需用户手动展开还款计划查看，强化用户优惠感知。</w:t>
      </w:r>
    </w:p>
    <w:p>
      <w:pPr>
        <w:numPr>
          <w:numId w:val="37"/>
        </w:numPr>
        <w:spacing w:before="120" w:after="120" w:line="288" w:lineRule="auto"/>
        <w:ind w:left="907"/>
        <w:jc w:val="left"/>
      </w:pPr>
      <w:r>
        <w:rPr>
          <w:rFonts w:eastAsia="等线" w:ascii="Arial" w:cs="Arial" w:hAnsi="Arial"/>
          <w:sz w:val="22"/>
        </w:rPr>
        <w:t>合规要求明确：禁止设计强制用户完成额外动作才能领券的流氓逻辑，避免引发用户客诉，损害产品长期品牌口碑。</w:t>
      </w:r>
    </w:p>
    <w:p>
      <w:pPr>
        <w:numPr>
          <w:numId w:val="38"/>
        </w:numPr>
        <w:spacing w:before="120" w:after="120" w:line="288" w:lineRule="auto"/>
        <w:ind w:left="453"/>
        <w:jc w:val="left"/>
      </w:pPr>
      <w:r>
        <w:rPr>
          <w:rFonts w:eastAsia="等线" w:ascii="Arial" w:cs="Arial" w:hAnsi="Arial"/>
          <w:b w:val="true"/>
          <w:sz w:val="22"/>
        </w:rPr>
        <w:t>内容包装技巧</w:t>
      </w:r>
    </w:p>
    <w:p>
      <w:pPr>
        <w:numPr>
          <w:numId w:val="39"/>
        </w:numPr>
        <w:spacing w:before="120" w:after="120" w:line="288" w:lineRule="auto"/>
        <w:ind w:left="907"/>
        <w:jc w:val="left"/>
      </w:pPr>
      <w:r>
        <w:rPr>
          <w:rFonts w:eastAsia="等线" w:ascii="Arial" w:cs="Arial" w:hAnsi="Arial"/>
          <w:sz w:val="22"/>
        </w:rPr>
        <w:t>首贷权益包装：针对首贷用户，将其账户内的优惠券统一包装为「首借红包」，强化用户专属权益感知，无需调整后端发券规则。</w:t>
      </w:r>
    </w:p>
    <w:p>
      <w:pPr>
        <w:numPr>
          <w:numId w:val="40"/>
        </w:numPr>
        <w:spacing w:before="120" w:after="120" w:line="288" w:lineRule="auto"/>
        <w:ind w:left="907"/>
        <w:jc w:val="left"/>
      </w:pPr>
      <w:r>
        <w:rPr>
          <w:rFonts w:eastAsia="等线" w:ascii="Arial" w:cs="Arial" w:hAnsi="Arial"/>
          <w:sz w:val="22"/>
        </w:rPr>
        <w:t>权益感知强化：所有触达内容需突出优惠券的专属感、稀缺感，避免让用户觉得是通用福利，降低用户的重视程度。</w:t>
      </w:r>
    </w:p>
    <w:p>
      <w:pPr>
        <w:numPr>
          <w:numId w:val="41"/>
        </w:numPr>
        <w:spacing w:before="120" w:after="120" w:line="288" w:lineRule="auto"/>
        <w:ind w:left="453"/>
        <w:jc w:val="left"/>
      </w:pPr>
      <w:r>
        <w:rPr>
          <w:rFonts w:eastAsia="等线" w:ascii="Arial" w:cs="Arial" w:hAnsi="Arial"/>
          <w:b w:val="true"/>
          <w:sz w:val="22"/>
        </w:rPr>
        <w:t>暂不落地形式</w:t>
      </w:r>
      <w:r>
        <w:rPr>
          <w:rFonts w:eastAsia="等线" w:ascii="Arial" w:cs="Arial" w:hAnsi="Arial"/>
          <w:sz w:val="22"/>
        </w:rPr>
        <w:t>：暂不落地转盘类需额外权益支撑的形式、多张券自动选最优功能，当前单用户仅发一张券，相关功能留到第二期迭代。</w:t>
      </w:r>
    </w:p>
    <w:p>
      <w:pPr>
        <w:numPr>
          <w:numId w:val="42"/>
        </w:numPr>
        <w:spacing w:before="120" w:after="120" w:line="288" w:lineRule="auto"/>
        <w:ind w:left="0"/>
        <w:jc w:val="left"/>
      </w:pPr>
      <w:r>
        <w:rPr>
          <w:rFonts w:eastAsia="等线" w:ascii="Arial" w:cs="Arial" w:hAnsi="Arial"/>
          <w:b w:val="true"/>
          <w:sz w:val="22"/>
        </w:rPr>
        <w:t>迭代配套与管理要求</w:t>
      </w:r>
    </w:p>
    <w:p>
      <w:pPr>
        <w:numPr>
          <w:numId w:val="43"/>
        </w:numPr>
        <w:spacing w:before="120" w:after="120" w:line="288" w:lineRule="auto"/>
        <w:ind w:left="453"/>
        <w:jc w:val="left"/>
      </w:pPr>
      <w:r>
        <w:rPr>
          <w:rFonts w:eastAsia="等线" w:ascii="Arial" w:cs="Arial" w:hAnsi="Arial"/>
          <w:b w:val="true"/>
          <w:sz w:val="22"/>
        </w:rPr>
        <w:t>效果验证要求</w:t>
      </w:r>
    </w:p>
    <w:p>
      <w:pPr>
        <w:numPr>
          <w:numId w:val="44"/>
        </w:numPr>
        <w:spacing w:before="120" w:after="120" w:line="288" w:lineRule="auto"/>
        <w:ind w:left="907"/>
        <w:jc w:val="left"/>
      </w:pPr>
      <w:r>
        <w:rPr>
          <w:rFonts w:eastAsia="等线" w:ascii="Arial" w:cs="Arial" w:hAnsi="Arial"/>
          <w:sz w:val="22"/>
        </w:rPr>
        <w:t>AB测试配套：所有落地的触达方案均需配套AB测试，通过对照数据验证实际效果，预期可实现优惠券使用率至少 20% 的提升。</w:t>
      </w:r>
    </w:p>
    <w:p>
      <w:pPr>
        <w:numPr>
          <w:numId w:val="45"/>
        </w:numPr>
        <w:spacing w:before="120" w:after="120" w:line="288" w:lineRule="auto"/>
        <w:ind w:left="907"/>
        <w:jc w:val="left"/>
      </w:pPr>
      <w:r>
        <w:rPr>
          <w:rFonts w:eastAsia="等线" w:ascii="Arial" w:cs="Arial" w:hAnsi="Arial"/>
          <w:sz w:val="22"/>
        </w:rPr>
        <w:t>指标观测维度：除核心指标优惠券使用率外，同步观测用户进店率、下单率等关联指标，确保触达方案不会对核心转化造成负面影响。</w:t>
      </w:r>
    </w:p>
    <w:p>
      <w:pPr>
        <w:numPr>
          <w:numId w:val="46"/>
        </w:numPr>
        <w:spacing w:before="120" w:after="120" w:line="288" w:lineRule="auto"/>
        <w:ind w:left="453"/>
        <w:jc w:val="left"/>
      </w:pPr>
      <w:r>
        <w:rPr>
          <w:rFonts w:eastAsia="等线" w:ascii="Arial" w:cs="Arial" w:hAnsi="Arial"/>
          <w:b w:val="true"/>
          <w:sz w:val="22"/>
        </w:rPr>
        <w:t>体验优化要求</w:t>
      </w:r>
      <w:r>
        <w:rPr>
          <w:rFonts w:eastAsia="等线" w:ascii="Arial" w:cs="Arial" w:hAnsi="Arial"/>
          <w:sz w:val="22"/>
        </w:rPr>
        <w:t>：后续需和相关负责人对齐现有各页面的弹窗类型，明确券触达弹窗的优先级，避免多个弹窗冲突影响用户体验。</w:t>
      </w:r>
    </w:p>
    <w:p>
      <w:pPr>
        <w:numPr>
          <w:numId w:val="47"/>
        </w:numPr>
        <w:spacing w:before="120" w:after="120" w:line="288" w:lineRule="auto"/>
        <w:ind w:left="453"/>
        <w:jc w:val="left"/>
      </w:pPr>
      <w:r>
        <w:rPr>
          <w:rFonts w:eastAsia="等线" w:ascii="Arial" w:cs="Arial" w:hAnsi="Arial"/>
          <w:b w:val="true"/>
          <w:sz w:val="22"/>
        </w:rPr>
        <w:t>资源排期说明</w:t>
      </w:r>
    </w:p>
    <w:p>
      <w:pPr>
        <w:numPr>
          <w:numId w:val="48"/>
        </w:numPr>
        <w:spacing w:before="120" w:after="120" w:line="288" w:lineRule="auto"/>
        <w:ind w:left="907"/>
        <w:jc w:val="left"/>
      </w:pPr>
      <w:r>
        <w:rPr>
          <w:rFonts w:eastAsia="等线" w:ascii="Arial" w:cs="Arial" w:hAnsi="Arial"/>
          <w:sz w:val="22"/>
        </w:rPr>
        <w:t>优先级排序：当前UI、产品人力有限，核心节点触达方案优先级最高，非核心功能可根据排期延后至 8 月 11 号及之后启动。</w:t>
      </w:r>
    </w:p>
    <w:p>
      <w:pPr>
        <w:numPr>
          <w:numId w:val="49"/>
        </w:numPr>
        <w:spacing w:before="120" w:after="120" w:line="288" w:lineRule="auto"/>
        <w:ind w:left="907"/>
        <w:jc w:val="left"/>
      </w:pPr>
      <w:r>
        <w:rPr>
          <w:rFonts w:eastAsia="等线" w:ascii="Arial" w:cs="Arial" w:hAnsi="Arial"/>
          <w:sz w:val="22"/>
        </w:rPr>
        <w:t>节奏把控要求：需加快落地节奏，预留功能迭代空间，避免中台通用优惠券能力上线后抢占业务落地的权责与业绩收益。</w:t>
      </w:r>
    </w:p>
    <w:p>
      <w:pPr>
        <w:numPr>
          <w:numId w:val="50"/>
        </w:numPr>
        <w:spacing w:before="120" w:after="120" w:line="288" w:lineRule="auto"/>
        <w:ind w:left="907"/>
        <w:jc w:val="left"/>
      </w:pPr>
      <w:r>
        <w:rPr>
          <w:rFonts w:eastAsia="等线" w:ascii="Arial" w:cs="Arial" w:hAnsi="Arial"/>
          <w:sz w:val="22"/>
        </w:rPr>
        <w:t>动作简化要求：所有触达方案需尽量合并用户操作动作，避免额外增加用户操作路径，将用户操作成本降至最低。</w:t>
      </w:r>
    </w:p>
    <w:p>
      <w:pPr>
        <w:numPr>
          <w:numId w:val="51"/>
        </w:numPr>
        <w:spacing w:before="120" w:after="120" w:line="288" w:lineRule="auto"/>
        <w:ind w:left="907"/>
        <w:jc w:val="left"/>
      </w:pPr>
      <w:r>
        <w:rPr>
          <w:rFonts w:eastAsia="等线" w:ascii="Arial" w:cs="Arial" w:hAnsi="Arial"/>
          <w:sz w:val="22"/>
        </w:rPr>
        <w:t>跨团队协作要求：涉及发券规则调整、用户行为触发逻辑的需求，后续单独和龙哥团队对齐，不在本次会议的落地范围内。</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52"/>
        </w:numPr>
        <w:spacing w:before="120" w:after="120" w:line="288" w:lineRule="auto"/>
        <w:ind w:left="0"/>
        <w:jc w:val="left"/>
      </w:pPr>
      <w:r>
        <w:rPr>
          <w:rFonts w:eastAsia="等线" w:ascii="Arial" w:cs="Arial" w:hAnsi="Arial"/>
          <w:sz w:val="22"/>
        </w:rPr>
        <w:t>脑暴信息整理：围绕优惠券使用率提升目标，整理本次脑暴关键信息及落地方向，完成相关文档与方案复版准备</w:t>
      </w:r>
    </w:p>
    <w:p>
      <w:pPr>
        <w:numPr>
          <w:numId w:val="53"/>
        </w:numPr>
        <w:spacing w:before="120" w:after="120" w:line="288" w:lineRule="auto"/>
        <w:ind w:left="0"/>
        <w:jc w:val="left"/>
      </w:pPr>
      <w:r>
        <w:rPr>
          <w:rFonts w:eastAsia="等线" w:ascii="Arial" w:cs="Arial" w:hAnsi="Arial"/>
          <w:sz w:val="22"/>
        </w:rPr>
        <w:t>红包交互确认：查看当前产品中红包点击后的交互逻辑，确认是弹出动效还是跳转页面</w:t>
      </w:r>
    </w:p>
    <w:p>
      <w:pPr>
        <w:numPr>
          <w:numId w:val="54"/>
        </w:numPr>
        <w:spacing w:before="120" w:after="120" w:line="288" w:lineRule="auto"/>
        <w:ind w:left="0"/>
        <w:jc w:val="left"/>
      </w:pPr>
      <w:r>
        <w:rPr>
          <w:rFonts w:eastAsia="等线" w:ascii="Arial" w:cs="Arial" w:hAnsi="Arial"/>
          <w:sz w:val="22"/>
        </w:rPr>
        <w:t>二维码生成研究：调研指定跳转至谷歌 APP 的二维码生成方案，明确纯网页端 URL 生成二维码的实现逻辑，解决跳转路径指定问题</w:t>
      </w:r>
    </w:p>
    <w:p>
      <w:pPr>
        <w:numPr>
          <w:numId w:val="55"/>
        </w:numPr>
        <w:spacing w:before="120" w:after="120" w:line="288" w:lineRule="auto"/>
        <w:ind w:left="0"/>
        <w:jc w:val="left"/>
      </w:pPr>
      <w:r>
        <w:rPr>
          <w:rFonts w:eastAsia="等线" w:ascii="Arial" w:cs="Arial" w:hAnsi="Arial"/>
          <w:sz w:val="22"/>
        </w:rPr>
        <w:t>首购红包规划：结合用户有券、n day 出额未进件的前提，完成首购/首件红包的相关规划，相关形式由三人分工推进</w:t>
      </w:r>
    </w:p>
    <w:p>
      <w:pPr>
        <w:numPr>
          <w:numId w:val="56"/>
        </w:numPr>
        <w:spacing w:before="120" w:after="120" w:line="288" w:lineRule="auto"/>
        <w:ind w:left="0"/>
        <w:jc w:val="left"/>
      </w:pPr>
      <w:r>
        <w:rPr>
          <w:rFonts w:eastAsia="等线" w:ascii="Arial" w:cs="Arial" w:hAnsi="Arial"/>
          <w:sz w:val="22"/>
        </w:rPr>
        <w:t>AB 测试执行：针对优惠券相关的可控运营动作开展 AB 侧测试，验证运营动作对优惠券使用率、转化指标的提升效果</w:t>
      </w:r>
    </w:p>
    <w:p>
      <w:pPr>
        <w:numPr>
          <w:numId w:val="57"/>
        </w:numPr>
        <w:spacing w:before="120" w:after="120" w:line="288" w:lineRule="auto"/>
        <w:ind w:left="0"/>
        <w:jc w:val="left"/>
      </w:pPr>
      <w:r>
        <w:rPr>
          <w:rFonts w:eastAsia="等线" w:ascii="Arial" w:cs="Arial" w:hAnsi="Arial"/>
          <w:sz w:val="22"/>
        </w:rPr>
        <w:t>会议录屏发送：将本次关于优惠券相关方案讨论的会议录屏发送至工作群，供相关人员在做方案期间查阅参考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7">
        <w:r>
          <w:rPr>
            <w:rFonts w:eastAsia="等线" w:ascii="Arial" w:cs="Arial" w:hAnsi="Arial"/>
            <w:color w:val="3370ff"/>
            <w:sz w:val="22"/>
          </w:rPr>
          <w:t>00:00</w:t>
        </w:r>
      </w:hyperlink>
      <w:r>
        <w:rPr>
          <w:rFonts w:eastAsia="等线" w:ascii="Arial" w:cs="Arial" w:hAnsi="Arial"/>
          <w:b w:val="true"/>
          <w:sz w:val="22"/>
        </w:rPr>
        <w:t xml:space="preserve">  借贷业务精细化运营下的利好信息传达规划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新客转化数据已达90%以上接近天花板，后续需转向精细化运营，明确撬动无需求用户的ROI杠杆难度大，核心发力点在于消除用户需求与供给间的信息差，针对借贷市场同利率、同品牌层级的竞品，要做好优惠、提额降息等利好信息的触达，避免因信息传达不到位流失用户。</w:t>
            </w:r>
          </w:p>
        </w:tc>
      </w:tr>
    </w:tbl>
    <w:p>
      <w:pPr>
        <w:spacing w:before="120" w:after="120" w:line="288" w:lineRule="auto"/>
        <w:ind w:left="0"/>
        <w:jc w:val="left"/>
      </w:pPr>
      <w:hyperlink r:id="rId8">
        <w:r>
          <w:rPr>
            <w:rFonts w:eastAsia="等线" w:ascii="Arial" w:cs="Arial" w:hAnsi="Arial"/>
            <w:color w:val="3370ff"/>
            <w:sz w:val="22"/>
          </w:rPr>
          <w:t>03:29</w:t>
        </w:r>
      </w:hyperlink>
      <w:r>
        <w:rPr>
          <w:rFonts w:eastAsia="等线" w:ascii="Arial" w:cs="Arial" w:hAnsi="Arial"/>
          <w:b w:val="true"/>
          <w:sz w:val="22"/>
        </w:rPr>
        <w:t xml:space="preserve">  优惠券端内信息传达优化脑暴讨论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优惠券相关优化开展脑暴，明确本次不聚焦UI层面优化，核心目标是做好发券后的信息触达，端外触达由龙哥团队负责、目标是引导用户打开APP，端内信息传达由己方负责，需结合墨西哥控版发版的现状，围绕形式、话术、节点提前规划，目前暂未产出成文脑暴成果，已提及注册、实名是可利用的有效触达节点。</w:t>
            </w:r>
          </w:p>
        </w:tc>
      </w:tr>
    </w:tbl>
    <w:p>
      <w:pPr>
        <w:spacing w:before="120" w:after="120" w:line="288" w:lineRule="auto"/>
        <w:ind w:left="0"/>
        <w:jc w:val="left"/>
      </w:pPr>
      <w:hyperlink r:id="rId9">
        <w:r>
          <w:rPr>
            <w:rFonts w:eastAsia="等线" w:ascii="Arial" w:cs="Arial" w:hAnsi="Arial"/>
            <w:color w:val="3370ff"/>
            <w:sz w:val="22"/>
          </w:rPr>
          <w:t>08:00</w:t>
        </w:r>
      </w:hyperlink>
      <w:r>
        <w:rPr>
          <w:rFonts w:eastAsia="等线" w:ascii="Arial" w:cs="Arial" w:hAnsi="Arial"/>
          <w:b w:val="true"/>
          <w:sz w:val="22"/>
        </w:rPr>
        <w:t xml:space="preserve">  围绕形式文案节点开展相关内容脑暴安排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当前暂不提供预设框架，组织参会人员围绕信息传达目标开展自由脑暴，脑暴可从形式、文案、节点三个方向切入，支持以心智图发散延伸相关内容，后续将统一梳理框架，已覆盖到的脑暴方向将直接填入框架完善内容。</w:t>
            </w:r>
          </w:p>
        </w:tc>
      </w:tr>
    </w:tbl>
    <w:p>
      <w:pPr>
        <w:spacing w:before="120" w:after="120" w:line="288" w:lineRule="auto"/>
        <w:ind w:left="0"/>
        <w:jc w:val="left"/>
      </w:pPr>
      <w:hyperlink r:id="rId10">
        <w:r>
          <w:rPr>
            <w:rFonts w:eastAsia="等线" w:ascii="Arial" w:cs="Arial" w:hAnsi="Arial"/>
            <w:color w:val="3370ff"/>
            <w:sz w:val="22"/>
          </w:rPr>
          <w:t>09:07</w:t>
        </w:r>
      </w:hyperlink>
      <w:r>
        <w:rPr>
          <w:rFonts w:eastAsia="等线" w:ascii="Arial" w:cs="Arial" w:hAnsi="Arial"/>
          <w:b w:val="true"/>
          <w:sz w:val="22"/>
        </w:rPr>
        <w:t xml:space="preserve">  默读文档《墨西哥市场借贷产品优惠券信息传达优化》</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默读文档《墨西哥市场借贷产品优惠券信息传达优化》</w:t>
            </w:r>
          </w:p>
        </w:tc>
      </w:tr>
    </w:tbl>
    <w:p>
      <w:pPr>
        <w:spacing w:before="120" w:after="120" w:line="288" w:lineRule="auto"/>
        <w:ind w:left="0"/>
        <w:jc w:val="left"/>
      </w:pPr>
      <w:hyperlink r:id="rId11">
        <w:r>
          <w:rPr>
            <w:rFonts w:eastAsia="等线" w:ascii="Arial" w:cs="Arial" w:hAnsi="Arial"/>
            <w:color w:val="3370ff"/>
            <w:sz w:val="22"/>
          </w:rPr>
          <w:t>18:27</w:t>
        </w:r>
      </w:hyperlink>
      <w:r>
        <w:rPr>
          <w:rFonts w:eastAsia="等线" w:ascii="Arial" w:cs="Arial" w:hAnsi="Arial"/>
          <w:b w:val="true"/>
          <w:sz w:val="22"/>
        </w:rPr>
        <w:t xml:space="preserve">  明确优惠券使用率提升方案落地安排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会议收尾环节，明确后续相关方案交由亚子落地，会后需整理本次脑暴关键信息，无需严格规范，补全必要内容即可，同时确认两个落地方向后即可启动复版，准备相关文档、方案，本次相关工作锚定的核心目标为提升优惠券使用率。</w:t>
            </w:r>
          </w:p>
        </w:tc>
      </w:tr>
    </w:tbl>
    <w:p>
      <w:pPr>
        <w:spacing w:before="120" w:after="120" w:line="288" w:lineRule="auto"/>
        <w:ind w:left="0"/>
        <w:jc w:val="left"/>
      </w:pPr>
      <w:hyperlink r:id="rId12">
        <w:r>
          <w:rPr>
            <w:rFonts w:eastAsia="等线" w:ascii="Arial" w:cs="Arial" w:hAnsi="Arial"/>
            <w:color w:val="3370ff"/>
            <w:sz w:val="22"/>
          </w:rPr>
          <w:t>19:28</w:t>
        </w:r>
      </w:hyperlink>
      <w:r>
        <w:rPr>
          <w:rFonts w:eastAsia="等线" w:ascii="Arial" w:cs="Arial" w:hAnsi="Arial"/>
          <w:b w:val="true"/>
          <w:sz w:val="22"/>
        </w:rPr>
        <w:t xml:space="preserve">  有券客群出额前触达节点及促转化路径讨论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已注册登录、持有券的客群，按出额前、出额后梳理用户触达节点，当前聚焦出额前场景，以促实名、引导用户走完出额前流程为核心目标，脑暴出对应触达节点包括进页面时、用户退出动作时、用户完成单步操作后等，后续还将进一步细化场景。</w:t>
            </w:r>
          </w:p>
        </w:tc>
      </w:tr>
    </w:tbl>
    <w:p>
      <w:pPr>
        <w:spacing w:before="120" w:after="120" w:line="288" w:lineRule="auto"/>
        <w:ind w:left="0"/>
        <w:jc w:val="left"/>
      </w:pPr>
      <w:hyperlink r:id="rId13">
        <w:r>
          <w:rPr>
            <w:rFonts w:eastAsia="等线" w:ascii="Arial" w:cs="Arial" w:hAnsi="Arial"/>
            <w:color w:val="3370ff"/>
            <w:sz w:val="22"/>
          </w:rPr>
          <w:t>33:00</w:t>
        </w:r>
      </w:hyperlink>
      <w:r>
        <w:rPr>
          <w:rFonts w:eastAsia="等线" w:ascii="Arial" w:cs="Arial" w:hAnsi="Arial"/>
          <w:b w:val="true"/>
          <w:sz w:val="22"/>
        </w:rPr>
        <w:t xml:space="preserve">  实名成功状态页促出额相关形式讨论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实名成功状态页展开讨论，明确该页面核心目的是促用户出额，同步明确发券动作的决策执行归龙哥团队，端内负责信息传达与动作衔接，还头脑风暴了该页面及相关触达的多种承接形式，包含弹窗、页内模块、push、开屏、浮标、banner、倒计时等。</w:t>
            </w:r>
          </w:p>
        </w:tc>
      </w:tr>
    </w:tbl>
    <w:p>
      <w:pPr>
        <w:spacing w:before="120" w:after="120" w:line="288" w:lineRule="auto"/>
        <w:ind w:left="0"/>
        <w:jc w:val="left"/>
      </w:pPr>
      <w:hyperlink r:id="rId14">
        <w:r>
          <w:rPr>
            <w:rFonts w:eastAsia="等线" w:ascii="Arial" w:cs="Arial" w:hAnsi="Arial"/>
            <w:color w:val="3370ff"/>
            <w:sz w:val="22"/>
          </w:rPr>
          <w:t>40:00</w:t>
        </w:r>
      </w:hyperlink>
      <w:r>
        <w:rPr>
          <w:rFonts w:eastAsia="等线" w:ascii="Arial" w:cs="Arial" w:hAnsi="Arial"/>
          <w:b w:val="true"/>
          <w:sz w:val="22"/>
        </w:rPr>
        <w:t xml:space="preserve">  出额后借款进件页优惠券促使用户支用的形式讨论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出额成功后的优惠券促使用户使用主题展开，明确当前主推固定比例折扣券、还款抵扣券基本停发，讨论了出额入额进件页的多种优惠券展现形式，含立减提示、满额凑单引导、倒计时、抽奖类玩法、轮播消息、自动选最优券、刮刮乐等，还提及后续可拓展还款成功等发券节点。</w:t>
            </w:r>
          </w:p>
        </w:tc>
      </w:tr>
    </w:tbl>
    <w:p>
      <w:pPr>
        <w:spacing w:before="120" w:after="120" w:line="288" w:lineRule="auto"/>
        <w:ind w:left="0"/>
        <w:jc w:val="left"/>
      </w:pPr>
      <w:hyperlink r:id="rId15">
        <w:r>
          <w:rPr>
            <w:rFonts w:eastAsia="等线" w:ascii="Arial" w:cs="Arial" w:hAnsi="Arial"/>
            <w:color w:val="3370ff"/>
            <w:sz w:val="22"/>
          </w:rPr>
          <w:t>51:37</w:t>
        </w:r>
      </w:hyperlink>
      <w:r>
        <w:rPr>
          <w:rFonts w:eastAsia="等线" w:ascii="Arial" w:cs="Arial" w:hAnsi="Arial"/>
          <w:b w:val="true"/>
          <w:sz w:val="22"/>
        </w:rPr>
        <w:t xml:space="preserve">  促实名相关券触达节点及展现形式讨论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促实名的券触达方案展开，确定优先选用户在实名流程中途退页、注册多日未实名用户召回后进入未出额状态页两个节点触达用户，讨论了券的新颖展式形式，明确暂不做提额相关内容，后续再研讨发券触发行为、实名成功等其他节点相关细节。</w:t>
            </w:r>
          </w:p>
        </w:tc>
      </w:tr>
    </w:tbl>
    <w:p>
      <w:pPr>
        <w:spacing w:before="120" w:after="120" w:line="288" w:lineRule="auto"/>
        <w:ind w:left="0"/>
        <w:jc w:val="left"/>
      </w:pPr>
      <w:hyperlink r:id="rId16">
        <w:r>
          <w:rPr>
            <w:rFonts w:eastAsia="等线" w:ascii="Arial" w:cs="Arial" w:hAnsi="Arial"/>
            <w:color w:val="3370ff"/>
            <w:sz w:val="22"/>
          </w:rPr>
          <w:t>01:06:22</w:t>
        </w:r>
      </w:hyperlink>
      <w:r>
        <w:rPr>
          <w:rFonts w:eastAsia="等线" w:ascii="Arial" w:cs="Arial" w:hAnsi="Arial"/>
          <w:b w:val="true"/>
          <w:sz w:val="22"/>
        </w:rPr>
        <w:t xml:space="preserve">  参考淘宝优惠券形式优化我方券使用方案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以淘宝丰富的优惠券玩法为案例，展示多种券类呈现形式，明确当前我方单用户仅发一张券、券使用率约40%，暂不做自动选最优等复杂功能，计划借鉴3种左右玩法提使用率，同步同步弹窗优先级规划、新人首借红包包装、VIP官网排期等相关工作安排。</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58"/>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：确定以提升优惠券使用率为核心目标，落地端内优惠券信息传达的两个核心节点（用户退出页面的挽留节点、未出额状态首页节点），由亚子负责后续方案落地、文档准备及 AB 测试设计。</w:t>
      </w:r>
    </w:p>
    <w:p>
      <w:pPr>
        <w:numPr>
          <w:numId w:val="59"/>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：当前端内优惠券信息传达形式单一，用户知晓率低，优惠券使用率仅约 40%，需在控版、资源有限的前提下优化触达方案。</w:t>
      </w:r>
    </w:p>
    <w:p>
      <w:pPr>
        <w:numPr>
          <w:numId w:val="60"/>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61"/>
        </w:numPr>
        <w:spacing w:before="120" w:after="120" w:line="288" w:lineRule="auto"/>
        <w:ind w:left="907"/>
        <w:jc w:val="left"/>
      </w:pPr>
      <w:r>
        <w:rPr>
          <w:rFonts w:eastAsia="等线" w:ascii="Arial" w:cs="Arial" w:hAnsi="Arial"/>
          <w:sz w:val="22"/>
        </w:rPr>
        <w:t>说话人 1 提出优先选择用户有流失倾向的退出动作节点做挽留触达，避免对正常转化用户造成不必要打扰。</w:t>
      </w:r>
    </w:p>
    <w:p>
      <w:pPr>
        <w:numPr>
          <w:numId w:val="62"/>
        </w:numPr>
        <w:spacing w:before="120" w:after="120" w:line="288" w:lineRule="auto"/>
        <w:ind w:left="907"/>
        <w:jc w:val="left"/>
      </w:pPr>
      <w:r>
        <w:rPr>
          <w:rFonts w:eastAsia="等线" w:ascii="Arial" w:cs="Arial" w:hAnsi="Arial"/>
          <w:sz w:val="22"/>
        </w:rPr>
        <w:t>说话人 2 提出可在注册、实名等关键节点做优惠券触达，同时可参考竞品采用倒计时、凑单促动支等形式提升用户感知。</w:t>
      </w:r>
    </w:p>
    <w:p>
      <w:pPr>
        <w:numPr>
          <w:numId w:val="63"/>
        </w:numPr>
        <w:spacing w:before="120" w:after="120" w:line="288" w:lineRule="auto"/>
        <w:ind w:left="907"/>
        <w:jc w:val="left"/>
      </w:pPr>
      <w:r>
        <w:rPr>
          <w:rFonts w:eastAsia="等线" w:ascii="Arial" w:cs="Arial" w:hAnsi="Arial"/>
          <w:sz w:val="22"/>
        </w:rPr>
        <w:t>说话人 4 提出可采用转盘、刮刮乐等游戏化形式包装优惠券，提升用户接收意愿。</w:t>
      </w:r>
    </w:p>
    <w:p>
      <w:pPr>
        <w:numPr>
          <w:numId w:val="64"/>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：当前新客转化率已达 90% 以上，无需对正常转化用户额外触达，退出节点及未出额首页节点针对流失风险用户，投入产出比更高，且可快速复用现有成熟形式，适配当前控版节奏。</w:t>
      </w:r>
    </w:p>
    <w:p>
      <w:pPr>
        <w:pBdr>
          <w:bottom w:val="single" w:color="dee0e3"/>
          <w:between w:val="single" w:color="dee0e3"/>
        </w:pBdr>
        <w:spacing w:before="120" w:after="120" w:line="288" w:lineRule="auto"/>
        <w:ind w:left="0"/>
      </w:pPr>
    </w:p>
    <w:p>
      <w:pPr>
        <w:numPr>
          <w:numId w:val="65"/>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66"/>
        </w:numPr>
        <w:spacing w:before="120" w:after="120" w:line="288" w:lineRule="auto"/>
        <w:ind w:left="453"/>
        <w:jc w:val="left"/>
      </w:pPr>
      <w:r>
        <w:rPr>
          <w:rFonts w:eastAsia="等线" w:ascii="Arial" w:cs="Arial" w:hAnsi="Arial"/>
          <w:sz w:val="22"/>
        </w:rPr>
        <w:t>优惠券触达的弹窗优先级后续与刘师杭对齐确认。</w:t>
      </w:r>
    </w:p>
    <w:p>
      <w:pPr>
        <w:numPr>
          <w:numId w:val="67"/>
        </w:numPr>
        <w:spacing w:before="120" w:after="120" w:line="288" w:lineRule="auto"/>
        <w:ind w:left="453"/>
        <w:jc w:val="left"/>
      </w:pPr>
      <w:r>
        <w:rPr>
          <w:rFonts w:eastAsia="等线" w:ascii="Arial" w:cs="Arial" w:hAnsi="Arial"/>
          <w:sz w:val="22"/>
        </w:rPr>
        <w:t>提额降息相关的优惠券优化放在第二期，本期暂不规划。</w:t>
      </w:r>
    </w:p>
    <w:p>
      <w:pPr>
        <w:numPr>
          <w:numId w:val="68"/>
        </w:numPr>
        <w:spacing w:before="120" w:after="120" w:line="288" w:lineRule="auto"/>
        <w:ind w:left="453"/>
        <w:jc w:val="left"/>
      </w:pPr>
      <w:r>
        <w:rPr>
          <w:rFonts w:eastAsia="等线" w:ascii="Arial" w:cs="Arial" w:hAnsi="Arial"/>
          <w:sz w:val="22"/>
        </w:rPr>
        <w:t>首借用户的优惠券统一包装为“首借红包”做标识。</w:t>
      </w:r>
    </w:p>
    <w:p>
      <w:pPr>
        <w:numPr>
          <w:numId w:val="69"/>
        </w:numPr>
        <w:spacing w:before="120" w:after="120" w:line="288" w:lineRule="auto"/>
        <w:ind w:left="453"/>
        <w:jc w:val="left"/>
      </w:pPr>
      <w:r>
        <w:rPr>
          <w:rFonts w:eastAsia="等线" w:ascii="Arial" w:cs="Arial" w:hAnsi="Arial"/>
          <w:sz w:val="22"/>
        </w:rPr>
        <w:t>VIP 官网相关功能排期至 8 月 11 日，无更高优先级需求则正常推进。</w:t>
      </w:r>
    </w:p>
    <w:p>
      <w:pPr>
        <w:numPr>
          <w:numId w:val="70"/>
        </w:numPr>
        <w:spacing w:before="120" w:after="120" w:line="288" w:lineRule="auto"/>
        <w:ind w:left="453"/>
        <w:jc w:val="left"/>
      </w:pPr>
      <w:r>
        <w:rPr>
          <w:rFonts w:eastAsia="等线" w:ascii="Arial" w:cs="Arial" w:hAnsi="Arial"/>
          <w:sz w:val="22"/>
        </w:rPr>
        <w:t>优惠券相关的发券动作归属龙哥团队负责，端内仅做信息传达。</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「有一部分是用户本身没有需求，我们努力的创造需求，这一部分的 ROI 其实它那个杠杆是很难撬动太多的，因为用户本身没需求。」</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点明了精细化运营的核心逻辑，明确了后续运营动作的优先级方向，避免无效投入。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「不是说抄是一件不好的事情，我跟你讲，现在能抄的时候抄，会抄也是一种本事。」</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给出了产品方案快速落地的务实思路，适配当前资源有限、需要快速出结果的现状。</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「因为前面额度给高了，兜不风险兜不住了呀。」</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点出了业务动作需要匹配风控底线的核心原则，避免为了指标盲目激进。</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71"/>
        </w:numPr>
        <w:spacing w:before="120" w:after="120" w:line="288" w:lineRule="auto"/>
        <w:ind w:left="0"/>
        <w:jc w:val="left"/>
      </w:pPr>
      <w:r>
        <w:rPr>
          <w:rFonts w:eastAsia="等线" w:ascii="Arial" w:cs="Arial" w:hAnsi="Arial"/>
          <w:sz w:val="22"/>
        </w:rPr>
        <w:t>妙记：</w:t>
      </w:r>
      <w:hyperlink r:id="rId17">
        <w:r>
          <w:rPr>
            <w:rFonts w:eastAsia="等线" w:ascii="Arial" w:cs="Arial" w:hAnsi="Arial"/>
            <w:color w:val="3370ff"/>
            <w:sz w:val="22"/>
          </w:rPr>
          <w:t>优惠券信息传达方案讨论</w:t>
        </w:r>
      </w:hyperlink>
    </w:p>
    <w:p>
      <w:pPr>
        <w:numPr>
          <w:numId w:val="72"/>
        </w:numPr>
        <w:spacing w:before="120" w:after="120" w:line="288" w:lineRule="auto"/>
        <w:ind w:left="0"/>
        <w:jc w:val="left"/>
      </w:pPr>
      <w:r>
        <w:rPr>
          <w:rFonts w:eastAsia="等线" w:ascii="Arial" w:cs="Arial" w:hAnsi="Arial"/>
          <w:sz w:val="22"/>
        </w:rPr>
        <w:t>文字记录</w:t>
      </w:r>
    </w:p>
    <w:p>
      <w:pPr>
        <w:numPr>
          <w:numId w:val="73"/>
        </w:numPr>
        <w:spacing w:before="120" w:after="120" w:line="288" w:lineRule="auto"/>
        <w:ind w:left="453"/>
        <w:jc w:val="left"/>
      </w:pPr>
      <w:hyperlink r:id="rId18">
        <w:r>
          <w:rPr>
            <w:rFonts w:eastAsia="等线" w:ascii="Arial" w:cs="Arial" w:hAnsi="Arial"/>
            <w:color w:val="3370ff"/>
            <w:sz w:val="22"/>
          </w:rPr>
          <w:t>优惠券信息传达方案讨论 2026年7月31日</w:t>
        </w:r>
      </w:hyperlink>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徐亚 2473"/>
          <v:fill opacity="0.3"/>
        </v:shape>
      </w:pict>
    </w:r>
  </w:p>
</w:hdr>
</file>

<file path=word/numbering.xml><?xml version="1.0" encoding="utf-8"?>
<w:numbering xmlns:w="http://schemas.openxmlformats.org/wordprocessingml/2006/main">
  <w:abstractNum w:abstractNumId="714263">
    <w:lvl>
      <w:numFmt w:val="bullet"/>
      <w:suff w:val="tab"/>
      <w:lvlText w:val="•"/>
      <w:rPr>
        <w:color w:val="3370ff"/>
      </w:rPr>
    </w:lvl>
  </w:abstractNum>
  <w:abstractNum w:abstractNumId="714264">
    <w:lvl>
      <w:numFmt w:val="bullet"/>
      <w:suff w:val="tab"/>
      <w:lvlText w:val="￮"/>
      <w:rPr>
        <w:color w:val="3370ff"/>
      </w:rPr>
    </w:lvl>
  </w:abstractNum>
  <w:abstractNum w:abstractNumId="714265">
    <w:lvl>
      <w:numFmt w:val="bullet"/>
      <w:suff w:val="tab"/>
      <w:lvlText w:val="▪"/>
      <w:rPr>
        <w:color w:val="3370ff"/>
        <w:sz w:val="11"/>
      </w:rPr>
    </w:lvl>
  </w:abstractNum>
  <w:abstractNum w:abstractNumId="714266">
    <w:lvl>
      <w:numFmt w:val="bullet"/>
      <w:suff w:val="tab"/>
      <w:lvlText w:val="▪"/>
      <w:rPr>
        <w:color w:val="3370ff"/>
        <w:sz w:val="11"/>
      </w:rPr>
    </w:lvl>
  </w:abstractNum>
  <w:abstractNum w:abstractNumId="714267">
    <w:lvl>
      <w:numFmt w:val="bullet"/>
      <w:suff w:val="tab"/>
      <w:lvlText w:val="▪"/>
      <w:rPr>
        <w:color w:val="3370ff"/>
        <w:sz w:val="11"/>
      </w:rPr>
    </w:lvl>
  </w:abstractNum>
  <w:abstractNum w:abstractNumId="714268">
    <w:lvl>
      <w:numFmt w:val="bullet"/>
      <w:suff w:val="tab"/>
      <w:lvlText w:val="▪"/>
      <w:rPr>
        <w:color w:val="3370ff"/>
        <w:sz w:val="11"/>
      </w:rPr>
    </w:lvl>
  </w:abstractNum>
  <w:abstractNum w:abstractNumId="714269">
    <w:lvl>
      <w:numFmt w:val="bullet"/>
      <w:suff w:val="tab"/>
      <w:lvlText w:val="￮"/>
      <w:rPr>
        <w:color w:val="3370ff"/>
      </w:rPr>
    </w:lvl>
  </w:abstractNum>
  <w:abstractNum w:abstractNumId="714270">
    <w:lvl>
      <w:numFmt w:val="bullet"/>
      <w:suff w:val="tab"/>
      <w:lvlText w:val="▪"/>
      <w:rPr>
        <w:color w:val="3370ff"/>
        <w:sz w:val="11"/>
      </w:rPr>
    </w:lvl>
  </w:abstractNum>
  <w:abstractNum w:abstractNumId="714271">
    <w:lvl>
      <w:numFmt w:val="bullet"/>
      <w:suff w:val="tab"/>
      <w:lvlText w:val="▪"/>
      <w:rPr>
        <w:color w:val="3370ff"/>
        <w:sz w:val="11"/>
      </w:rPr>
    </w:lvl>
  </w:abstractNum>
  <w:abstractNum w:abstractNumId="714272">
    <w:lvl>
      <w:numFmt w:val="bullet"/>
      <w:suff w:val="tab"/>
      <w:lvlText w:val="▪"/>
      <w:rPr>
        <w:color w:val="3370ff"/>
        <w:sz w:val="11"/>
      </w:rPr>
    </w:lvl>
  </w:abstractNum>
  <w:abstractNum w:abstractNumId="714273">
    <w:lvl>
      <w:numFmt w:val="bullet"/>
      <w:suff w:val="tab"/>
      <w:lvlText w:val="▪"/>
      <w:rPr>
        <w:color w:val="3370ff"/>
        <w:sz w:val="11"/>
      </w:rPr>
    </w:lvl>
  </w:abstractNum>
  <w:abstractNum w:abstractNumId="714274">
    <w:lvl>
      <w:numFmt w:val="bullet"/>
      <w:suff w:val="tab"/>
      <w:lvlText w:val="￮"/>
      <w:rPr>
        <w:color w:val="3370ff"/>
      </w:rPr>
    </w:lvl>
  </w:abstractNum>
  <w:abstractNum w:abstractNumId="714275">
    <w:lvl>
      <w:numFmt w:val="bullet"/>
      <w:suff w:val="tab"/>
      <w:lvlText w:val="•"/>
      <w:rPr>
        <w:color w:val="3370ff"/>
      </w:rPr>
    </w:lvl>
  </w:abstractNum>
  <w:abstractNum w:abstractNumId="714276">
    <w:lvl>
      <w:numFmt w:val="bullet"/>
      <w:suff w:val="tab"/>
      <w:lvlText w:val="•"/>
      <w:rPr>
        <w:color w:val="3370ff"/>
      </w:rPr>
    </w:lvl>
  </w:abstractNum>
  <w:abstractNum w:abstractNumId="714277">
    <w:lvl>
      <w:numFmt w:val="bullet"/>
      <w:suff w:val="tab"/>
      <w:lvlText w:val="•"/>
      <w:rPr>
        <w:color w:val="3370ff"/>
      </w:rPr>
    </w:lvl>
  </w:abstractNum>
  <w:abstractNum w:abstractNumId="714278">
    <w:lvl>
      <w:numFmt w:val="bullet"/>
      <w:suff w:val="tab"/>
      <w:lvlText w:val="￮"/>
      <w:rPr>
        <w:color w:val="3370ff"/>
      </w:rPr>
    </w:lvl>
  </w:abstractNum>
  <w:abstractNum w:abstractNumId="714279">
    <w:lvl>
      <w:numFmt w:val="bullet"/>
      <w:suff w:val="tab"/>
      <w:lvlText w:val="▪"/>
      <w:rPr>
        <w:color w:val="3370ff"/>
        <w:sz w:val="11"/>
      </w:rPr>
    </w:lvl>
  </w:abstractNum>
  <w:abstractNum w:abstractNumId="714280">
    <w:lvl>
      <w:numFmt w:val="bullet"/>
      <w:suff w:val="tab"/>
      <w:lvlText w:val="•"/>
      <w:rPr>
        <w:color w:val="3370ff"/>
      </w:rPr>
    </w:lvl>
  </w:abstractNum>
  <w:abstractNum w:abstractNumId="714281">
    <w:lvl>
      <w:numFmt w:val="bullet"/>
      <w:suff w:val="tab"/>
      <w:lvlText w:val="•"/>
      <w:rPr>
        <w:color w:val="3370ff"/>
      </w:rPr>
    </w:lvl>
  </w:abstractNum>
  <w:abstractNum w:abstractNumId="714282">
    <w:lvl>
      <w:numFmt w:val="bullet"/>
      <w:suff w:val="tab"/>
      <w:lvlText w:val="▪"/>
      <w:rPr>
        <w:color w:val="3370ff"/>
        <w:sz w:val="11"/>
      </w:rPr>
    </w:lvl>
  </w:abstractNum>
  <w:abstractNum w:abstractNumId="714283">
    <w:lvl>
      <w:numFmt w:val="bullet"/>
      <w:suff w:val="tab"/>
      <w:lvlText w:val="•"/>
      <w:rPr>
        <w:color w:val="3370ff"/>
      </w:rPr>
    </w:lvl>
  </w:abstractNum>
  <w:abstractNum w:abstractNumId="714284">
    <w:lvl>
      <w:numFmt w:val="bullet"/>
      <w:suff w:val="tab"/>
      <w:lvlText w:val="•"/>
      <w:rPr>
        <w:color w:val="3370ff"/>
      </w:rPr>
    </w:lvl>
  </w:abstractNum>
  <w:abstractNum w:abstractNumId="714285">
    <w:lvl>
      <w:numFmt w:val="bullet"/>
      <w:suff w:val="tab"/>
      <w:lvlText w:val="￮"/>
      <w:rPr>
        <w:color w:val="3370ff"/>
      </w:rPr>
    </w:lvl>
  </w:abstractNum>
  <w:abstractNum w:abstractNumId="714286">
    <w:lvl>
      <w:numFmt w:val="bullet"/>
      <w:suff w:val="tab"/>
      <w:lvlText w:val="▪"/>
      <w:rPr>
        <w:color w:val="3370ff"/>
        <w:sz w:val="11"/>
      </w:rPr>
    </w:lvl>
  </w:abstractNum>
  <w:abstractNum w:abstractNumId="714287">
    <w:lvl>
      <w:numFmt w:val="bullet"/>
      <w:suff w:val="tab"/>
      <w:lvlText w:val="▪"/>
      <w:rPr>
        <w:color w:val="3370ff"/>
        <w:sz w:val="11"/>
      </w:rPr>
    </w:lvl>
  </w:abstractNum>
  <w:abstractNum w:abstractNumId="714288">
    <w:lvl>
      <w:numFmt w:val="bullet"/>
      <w:suff w:val="tab"/>
      <w:lvlText w:val="▪"/>
      <w:rPr>
        <w:color w:val="3370ff"/>
        <w:sz w:val="11"/>
      </w:rPr>
    </w:lvl>
  </w:abstractNum>
  <w:abstractNum w:abstractNumId="714289">
    <w:lvl>
      <w:numFmt w:val="bullet"/>
      <w:suff w:val="tab"/>
      <w:lvlText w:val="▪"/>
      <w:rPr>
        <w:color w:val="3370ff"/>
        <w:sz w:val="11"/>
      </w:rPr>
    </w:lvl>
  </w:abstractNum>
  <w:abstractNum w:abstractNumId="714290">
    <w:lvl>
      <w:numFmt w:val="bullet"/>
      <w:suff w:val="tab"/>
      <w:lvlText w:val="•"/>
      <w:rPr>
        <w:color w:val="3370ff"/>
      </w:rPr>
    </w:lvl>
  </w:abstractNum>
  <w:abstractNum w:abstractNumId="714291">
    <w:lvl>
      <w:numFmt w:val="bullet"/>
      <w:suff w:val="tab"/>
      <w:lvlText w:val="￮"/>
      <w:rPr>
        <w:color w:val="3370ff"/>
      </w:rPr>
    </w:lvl>
  </w:abstractNum>
  <w:abstractNum w:abstractNumId="714292">
    <w:lvl>
      <w:numFmt w:val="bullet"/>
      <w:suff w:val="tab"/>
      <w:lvlText w:val="▪"/>
      <w:rPr>
        <w:color w:val="3370ff"/>
        <w:sz w:val="11"/>
      </w:rPr>
    </w:lvl>
  </w:abstractNum>
  <w:abstractNum w:abstractNumId="714293">
    <w:lvl>
      <w:numFmt w:val="bullet"/>
      <w:suff w:val="tab"/>
      <w:lvlText w:val="▪"/>
      <w:rPr>
        <w:color w:val="3370ff"/>
        <w:sz w:val="11"/>
      </w:rPr>
    </w:lvl>
  </w:abstractNum>
  <w:abstractNum w:abstractNumId="714294">
    <w:lvl>
      <w:numFmt w:val="bullet"/>
      <w:suff w:val="tab"/>
      <w:lvlText w:val="￮"/>
      <w:rPr>
        <w:color w:val="3370ff"/>
      </w:rPr>
    </w:lvl>
  </w:abstractNum>
  <w:abstractNum w:abstractNumId="714295">
    <w:lvl>
      <w:numFmt w:val="bullet"/>
      <w:suff w:val="tab"/>
      <w:lvlText w:val="▪"/>
      <w:rPr>
        <w:color w:val="3370ff"/>
        <w:sz w:val="11"/>
      </w:rPr>
    </w:lvl>
  </w:abstractNum>
  <w:abstractNum w:abstractNumId="714296">
    <w:lvl>
      <w:numFmt w:val="bullet"/>
      <w:suff w:val="tab"/>
      <w:lvlText w:val="▪"/>
      <w:rPr>
        <w:color w:val="3370ff"/>
        <w:sz w:val="11"/>
      </w:rPr>
    </w:lvl>
  </w:abstractNum>
  <w:abstractNum w:abstractNumId="714297">
    <w:lvl>
      <w:numFmt w:val="bullet"/>
      <w:suff w:val="tab"/>
      <w:lvlText w:val="▪"/>
      <w:rPr>
        <w:color w:val="3370ff"/>
        <w:sz w:val="11"/>
      </w:rPr>
    </w:lvl>
  </w:abstractNum>
  <w:abstractNum w:abstractNumId="714298">
    <w:lvl>
      <w:numFmt w:val="bullet"/>
      <w:suff w:val="tab"/>
      <w:lvlText w:val="▪"/>
      <w:rPr>
        <w:color w:val="3370ff"/>
        <w:sz w:val="11"/>
      </w:rPr>
    </w:lvl>
  </w:abstractNum>
  <w:abstractNum w:abstractNumId="714299">
    <w:lvl>
      <w:numFmt w:val="bullet"/>
      <w:suff w:val="tab"/>
      <w:lvlText w:val="▪"/>
      <w:rPr>
        <w:color w:val="3370ff"/>
        <w:sz w:val="11"/>
      </w:rPr>
    </w:lvl>
  </w:abstractNum>
  <w:abstractNum w:abstractNumId="714300">
    <w:lvl>
      <w:numFmt w:val="bullet"/>
      <w:suff w:val="tab"/>
      <w:lvlText w:val="￮"/>
      <w:rPr>
        <w:color w:val="3370ff"/>
      </w:rPr>
    </w:lvl>
  </w:abstractNum>
  <w:abstractNum w:abstractNumId="714301">
    <w:lvl>
      <w:numFmt w:val="bullet"/>
      <w:suff w:val="tab"/>
      <w:lvlText w:val="▪"/>
      <w:rPr>
        <w:color w:val="3370ff"/>
        <w:sz w:val="11"/>
      </w:rPr>
    </w:lvl>
  </w:abstractNum>
  <w:abstractNum w:abstractNumId="714302">
    <w:lvl>
      <w:numFmt w:val="bullet"/>
      <w:suff w:val="tab"/>
      <w:lvlText w:val="▪"/>
      <w:rPr>
        <w:color w:val="3370ff"/>
        <w:sz w:val="11"/>
      </w:rPr>
    </w:lvl>
  </w:abstractNum>
  <w:abstractNum w:abstractNumId="714303">
    <w:lvl>
      <w:numFmt w:val="bullet"/>
      <w:suff w:val="tab"/>
      <w:lvlText w:val="￮"/>
      <w:rPr>
        <w:color w:val="3370ff"/>
      </w:rPr>
    </w:lvl>
  </w:abstractNum>
  <w:abstractNum w:abstractNumId="714304">
    <w:lvl>
      <w:numFmt w:val="bullet"/>
      <w:suff w:val="tab"/>
      <w:lvlText w:val="•"/>
      <w:rPr>
        <w:color w:val="3370ff"/>
      </w:rPr>
    </w:lvl>
  </w:abstractNum>
  <w:abstractNum w:abstractNumId="714305">
    <w:lvl>
      <w:numFmt w:val="bullet"/>
      <w:suff w:val="tab"/>
      <w:lvlText w:val="￮"/>
      <w:rPr>
        <w:color w:val="3370ff"/>
      </w:rPr>
    </w:lvl>
  </w:abstractNum>
  <w:abstractNum w:abstractNumId="714306">
    <w:lvl>
      <w:numFmt w:val="bullet"/>
      <w:suff w:val="tab"/>
      <w:lvlText w:val="▪"/>
      <w:rPr>
        <w:color w:val="3370ff"/>
        <w:sz w:val="11"/>
      </w:rPr>
    </w:lvl>
  </w:abstractNum>
  <w:abstractNum w:abstractNumId="714307">
    <w:lvl>
      <w:numFmt w:val="bullet"/>
      <w:suff w:val="tab"/>
      <w:lvlText w:val="▪"/>
      <w:rPr>
        <w:color w:val="3370ff"/>
        <w:sz w:val="11"/>
      </w:rPr>
    </w:lvl>
  </w:abstractNum>
  <w:abstractNum w:abstractNumId="714308">
    <w:lvl>
      <w:numFmt w:val="bullet"/>
      <w:suff w:val="tab"/>
      <w:lvlText w:val="￮"/>
      <w:rPr>
        <w:color w:val="3370ff"/>
      </w:rPr>
    </w:lvl>
  </w:abstractNum>
  <w:abstractNum w:abstractNumId="714309">
    <w:lvl>
      <w:numFmt w:val="bullet"/>
      <w:suff w:val="tab"/>
      <w:lvlText w:val="￮"/>
      <w:rPr>
        <w:color w:val="3370ff"/>
      </w:rPr>
    </w:lvl>
  </w:abstractNum>
  <w:abstractNum w:abstractNumId="714310">
    <w:lvl>
      <w:numFmt w:val="bullet"/>
      <w:suff w:val="tab"/>
      <w:lvlText w:val="▪"/>
      <w:rPr>
        <w:color w:val="3370ff"/>
        <w:sz w:val="11"/>
      </w:rPr>
    </w:lvl>
  </w:abstractNum>
  <w:abstractNum w:abstractNumId="714311">
    <w:lvl>
      <w:numFmt w:val="bullet"/>
      <w:suff w:val="tab"/>
      <w:lvlText w:val="▪"/>
      <w:rPr>
        <w:color w:val="3370ff"/>
        <w:sz w:val="11"/>
      </w:rPr>
    </w:lvl>
  </w:abstractNum>
  <w:abstractNum w:abstractNumId="714312">
    <w:lvl>
      <w:numFmt w:val="bullet"/>
      <w:suff w:val="tab"/>
      <w:lvlText w:val="▪"/>
      <w:rPr>
        <w:color w:val="3370ff"/>
        <w:sz w:val="11"/>
      </w:rPr>
    </w:lvl>
  </w:abstractNum>
  <w:abstractNum w:abstractNumId="714313">
    <w:lvl>
      <w:numFmt w:val="bullet"/>
      <w:suff w:val="tab"/>
      <w:lvlText w:val="▪"/>
      <w:rPr>
        <w:color w:val="3370ff"/>
        <w:sz w:val="11"/>
      </w:rPr>
    </w:lvl>
  </w:abstractNum>
  <w:abstractNum w:abstractNumId="714314">
    <w:lvl>
      <w:numFmt w:val="bullet"/>
      <w:suff w:val="space"/>
      <w:lvlText w:val="□"/>
    </w:lvl>
  </w:abstractNum>
  <w:abstractNum w:abstractNumId="714315">
    <w:lvl>
      <w:numFmt w:val="bullet"/>
      <w:suff w:val="space"/>
      <w:lvlText w:val="□"/>
    </w:lvl>
  </w:abstractNum>
  <w:abstractNum w:abstractNumId="714316">
    <w:lvl>
      <w:numFmt w:val="bullet"/>
      <w:suff w:val="space"/>
      <w:lvlText w:val="□"/>
    </w:lvl>
  </w:abstractNum>
  <w:abstractNum w:abstractNumId="714317">
    <w:lvl>
      <w:numFmt w:val="bullet"/>
      <w:suff w:val="space"/>
      <w:lvlText w:val="□"/>
    </w:lvl>
  </w:abstractNum>
  <w:abstractNum w:abstractNumId="714318">
    <w:lvl>
      <w:numFmt w:val="bullet"/>
      <w:suff w:val="space"/>
      <w:lvlText w:val="□"/>
    </w:lvl>
  </w:abstractNum>
  <w:abstractNum w:abstractNumId="714319">
    <w:lvl>
      <w:numFmt w:val="bullet"/>
      <w:suff w:val="space"/>
      <w:lvlText w:val="□"/>
    </w:lvl>
  </w:abstractNum>
  <w:abstractNum w:abstractNumId="714320">
    <w:lvl>
      <w:numFmt w:val="bullet"/>
      <w:suff w:val="tab"/>
      <w:lvlText w:val="•"/>
      <w:rPr>
        <w:color w:val="3370ff"/>
      </w:rPr>
    </w:lvl>
  </w:abstractNum>
  <w:abstractNum w:abstractNumId="714321">
    <w:lvl>
      <w:numFmt w:val="bullet"/>
      <w:suff w:val="tab"/>
      <w:lvlText w:val="￮"/>
      <w:rPr>
        <w:color w:val="3370ff"/>
      </w:rPr>
    </w:lvl>
  </w:abstractNum>
  <w:abstractNum w:abstractNumId="714322">
    <w:lvl>
      <w:numFmt w:val="bullet"/>
      <w:suff w:val="tab"/>
      <w:lvlText w:val="￮"/>
      <w:rPr>
        <w:color w:val="3370ff"/>
      </w:rPr>
    </w:lvl>
  </w:abstractNum>
  <w:abstractNum w:abstractNumId="714323">
    <w:lvl>
      <w:numFmt w:val="bullet"/>
      <w:suff w:val="tab"/>
      <w:lvlText w:val="▪"/>
      <w:rPr>
        <w:color w:val="3370ff"/>
        <w:sz w:val="11"/>
      </w:rPr>
    </w:lvl>
  </w:abstractNum>
  <w:abstractNum w:abstractNumId="714324">
    <w:lvl>
      <w:numFmt w:val="bullet"/>
      <w:suff w:val="tab"/>
      <w:lvlText w:val="▪"/>
      <w:rPr>
        <w:color w:val="3370ff"/>
        <w:sz w:val="11"/>
      </w:rPr>
    </w:lvl>
  </w:abstractNum>
  <w:abstractNum w:abstractNumId="714325">
    <w:lvl>
      <w:numFmt w:val="bullet"/>
      <w:suff w:val="tab"/>
      <w:lvlText w:val="▪"/>
      <w:rPr>
        <w:color w:val="3370ff"/>
        <w:sz w:val="11"/>
      </w:rPr>
    </w:lvl>
  </w:abstractNum>
  <w:abstractNum w:abstractNumId="714326">
    <w:lvl>
      <w:numFmt w:val="bullet"/>
      <w:suff w:val="tab"/>
      <w:lvlText w:val="￮"/>
      <w:rPr>
        <w:color w:val="3370ff"/>
      </w:rPr>
    </w:lvl>
  </w:abstractNum>
  <w:abstractNum w:abstractNumId="714327">
    <w:lvl>
      <w:numFmt w:val="bullet"/>
      <w:suff w:val="tab"/>
      <w:lvlText w:val="•"/>
      <w:rPr>
        <w:color w:val="3370ff"/>
      </w:rPr>
    </w:lvl>
  </w:abstractNum>
  <w:abstractNum w:abstractNumId="714328">
    <w:lvl>
      <w:start w:val="1"/>
      <w:numFmt w:val="lowerLetter"/>
      <w:suff w:val="tab"/>
      <w:lvlText w:val="%1."/>
      <w:rPr>
        <w:color w:val="3370ff"/>
      </w:rPr>
    </w:lvl>
  </w:abstractNum>
  <w:abstractNum w:abstractNumId="714329">
    <w:lvl>
      <w:start w:val="2"/>
      <w:numFmt w:val="lowerLetter"/>
      <w:suff w:val="tab"/>
      <w:lvlText w:val="%1."/>
      <w:rPr>
        <w:color w:val="3370ff"/>
      </w:rPr>
    </w:lvl>
  </w:abstractNum>
  <w:abstractNum w:abstractNumId="714330">
    <w:lvl>
      <w:start w:val="3"/>
      <w:numFmt w:val="lowerLetter"/>
      <w:suff w:val="tab"/>
      <w:lvlText w:val="%1."/>
      <w:rPr>
        <w:color w:val="3370ff"/>
      </w:rPr>
    </w:lvl>
  </w:abstractNum>
  <w:abstractNum w:abstractNumId="714331">
    <w:lvl>
      <w:start w:val="4"/>
      <w:numFmt w:val="lowerLetter"/>
      <w:suff w:val="tab"/>
      <w:lvlText w:val="%1."/>
      <w:rPr>
        <w:color w:val="3370ff"/>
      </w:rPr>
    </w:lvl>
  </w:abstractNum>
  <w:abstractNum w:abstractNumId="714332">
    <w:lvl>
      <w:start w:val="5"/>
      <w:numFmt w:val="lowerLetter"/>
      <w:suff w:val="tab"/>
      <w:lvlText w:val="%1."/>
      <w:rPr>
        <w:color w:val="3370ff"/>
      </w:rPr>
    </w:lvl>
  </w:abstractNum>
  <w:abstractNum w:abstractNumId="714333">
    <w:lvl>
      <w:numFmt w:val="bullet"/>
      <w:suff w:val="tab"/>
      <w:lvlText w:val="•"/>
      <w:rPr>
        <w:color w:val="3370ff"/>
      </w:rPr>
    </w:lvl>
  </w:abstractNum>
  <w:abstractNum w:abstractNumId="714334">
    <w:lvl>
      <w:numFmt w:val="bullet"/>
      <w:suff w:val="tab"/>
      <w:lvlText w:val="•"/>
      <w:rPr>
        <w:color w:val="3370ff"/>
      </w:rPr>
    </w:lvl>
  </w:abstractNum>
  <w:abstractNum w:abstractNumId="714335">
    <w:lvl>
      <w:numFmt w:val="bullet"/>
      <w:suff w:val="tab"/>
      <w:lvlText w:val="￮"/>
      <w:rPr>
        <w:color w:val="3370ff"/>
      </w:rPr>
    </w:lvl>
  </w:abstractNum>
  <w:num w:numId="1">
    <w:abstractNumId w:val="714263"/>
  </w:num>
  <w:num w:numId="2">
    <w:abstractNumId w:val="714264"/>
  </w:num>
  <w:num w:numId="3">
    <w:abstractNumId w:val="714265"/>
  </w:num>
  <w:num w:numId="4">
    <w:abstractNumId w:val="714266"/>
  </w:num>
  <w:num w:numId="5">
    <w:abstractNumId w:val="714267"/>
  </w:num>
  <w:num w:numId="6">
    <w:abstractNumId w:val="714268"/>
  </w:num>
  <w:num w:numId="7">
    <w:abstractNumId w:val="714269"/>
  </w:num>
  <w:num w:numId="8">
    <w:abstractNumId w:val="714270"/>
  </w:num>
  <w:num w:numId="9">
    <w:abstractNumId w:val="714271"/>
  </w:num>
  <w:num w:numId="10">
    <w:abstractNumId w:val="714272"/>
  </w:num>
  <w:num w:numId="11">
    <w:abstractNumId w:val="714273"/>
  </w:num>
  <w:num w:numId="12">
    <w:abstractNumId w:val="714274"/>
  </w:num>
  <w:num w:numId="13">
    <w:abstractNumId w:val="714275"/>
  </w:num>
  <w:num w:numId="14">
    <w:abstractNumId w:val="714276"/>
  </w:num>
  <w:num w:numId="15">
    <w:abstractNumId w:val="714277"/>
  </w:num>
  <w:num w:numId="16">
    <w:abstractNumId w:val="714278"/>
  </w:num>
  <w:num w:numId="17">
    <w:abstractNumId w:val="714279"/>
  </w:num>
  <w:num w:numId="18">
    <w:abstractNumId w:val="714280"/>
  </w:num>
  <w:num w:numId="19">
    <w:abstractNumId w:val="714281"/>
  </w:num>
  <w:num w:numId="20">
    <w:abstractNumId w:val="714282"/>
  </w:num>
  <w:num w:numId="21">
    <w:abstractNumId w:val="714283"/>
  </w:num>
  <w:num w:numId="22">
    <w:abstractNumId w:val="714284"/>
  </w:num>
  <w:num w:numId="23">
    <w:abstractNumId w:val="714285"/>
  </w:num>
  <w:num w:numId="24">
    <w:abstractNumId w:val="714286"/>
  </w:num>
  <w:num w:numId="25">
    <w:abstractNumId w:val="714287"/>
  </w:num>
  <w:num w:numId="26">
    <w:abstractNumId w:val="714288"/>
  </w:num>
  <w:num w:numId="27">
    <w:abstractNumId w:val="714289"/>
  </w:num>
  <w:num w:numId="28">
    <w:abstractNumId w:val="714290"/>
  </w:num>
  <w:num w:numId="29">
    <w:abstractNumId w:val="714291"/>
  </w:num>
  <w:num w:numId="30">
    <w:abstractNumId w:val="714292"/>
  </w:num>
  <w:num w:numId="31">
    <w:abstractNumId w:val="714293"/>
  </w:num>
  <w:num w:numId="32">
    <w:abstractNumId w:val="714294"/>
  </w:num>
  <w:num w:numId="33">
    <w:abstractNumId w:val="714295"/>
  </w:num>
  <w:num w:numId="34">
    <w:abstractNumId w:val="714296"/>
  </w:num>
  <w:num w:numId="35">
    <w:abstractNumId w:val="714297"/>
  </w:num>
  <w:num w:numId="36">
    <w:abstractNumId w:val="714298"/>
  </w:num>
  <w:num w:numId="37">
    <w:abstractNumId w:val="714299"/>
  </w:num>
  <w:num w:numId="38">
    <w:abstractNumId w:val="714300"/>
  </w:num>
  <w:num w:numId="39">
    <w:abstractNumId w:val="714301"/>
  </w:num>
  <w:num w:numId="40">
    <w:abstractNumId w:val="714302"/>
  </w:num>
  <w:num w:numId="41">
    <w:abstractNumId w:val="714303"/>
  </w:num>
  <w:num w:numId="42">
    <w:abstractNumId w:val="714304"/>
  </w:num>
  <w:num w:numId="43">
    <w:abstractNumId w:val="714305"/>
  </w:num>
  <w:num w:numId="44">
    <w:abstractNumId w:val="714306"/>
  </w:num>
  <w:num w:numId="45">
    <w:abstractNumId w:val="714307"/>
  </w:num>
  <w:num w:numId="46">
    <w:abstractNumId w:val="714308"/>
  </w:num>
  <w:num w:numId="47">
    <w:abstractNumId w:val="714309"/>
  </w:num>
  <w:num w:numId="48">
    <w:abstractNumId w:val="714310"/>
  </w:num>
  <w:num w:numId="49">
    <w:abstractNumId w:val="714311"/>
  </w:num>
  <w:num w:numId="50">
    <w:abstractNumId w:val="714312"/>
  </w:num>
  <w:num w:numId="51">
    <w:abstractNumId w:val="714313"/>
  </w:num>
  <w:num w:numId="52">
    <w:abstractNumId w:val="714314"/>
  </w:num>
  <w:num w:numId="53">
    <w:abstractNumId w:val="714315"/>
  </w:num>
  <w:num w:numId="54">
    <w:abstractNumId w:val="714316"/>
  </w:num>
  <w:num w:numId="55">
    <w:abstractNumId w:val="714317"/>
  </w:num>
  <w:num w:numId="56">
    <w:abstractNumId w:val="714318"/>
  </w:num>
  <w:num w:numId="57">
    <w:abstractNumId w:val="714319"/>
  </w:num>
  <w:num w:numId="58">
    <w:abstractNumId w:val="714320"/>
  </w:num>
  <w:num w:numId="59">
    <w:abstractNumId w:val="714321"/>
  </w:num>
  <w:num w:numId="60">
    <w:abstractNumId w:val="714322"/>
  </w:num>
  <w:num w:numId="61">
    <w:abstractNumId w:val="714323"/>
  </w:num>
  <w:num w:numId="62">
    <w:abstractNumId w:val="714324"/>
  </w:num>
  <w:num w:numId="63">
    <w:abstractNumId w:val="714325"/>
  </w:num>
  <w:num w:numId="64">
    <w:abstractNumId w:val="714326"/>
  </w:num>
  <w:num w:numId="65">
    <w:abstractNumId w:val="714327"/>
  </w:num>
  <w:num w:numId="66">
    <w:abstractNumId w:val="714328"/>
  </w:num>
  <w:num w:numId="67">
    <w:abstractNumId w:val="714329"/>
  </w:num>
  <w:num w:numId="68">
    <w:abstractNumId w:val="714330"/>
  </w:num>
  <w:num w:numId="69">
    <w:abstractNumId w:val="714331"/>
  </w:num>
  <w:num w:numId="70">
    <w:abstractNumId w:val="714332"/>
  </w:num>
  <w:num w:numId="71">
    <w:abstractNumId w:val="714333"/>
  </w:num>
  <w:num w:numId="72">
    <w:abstractNumId w:val="714334"/>
  </w:num>
  <w:num w:numId="73">
    <w:abstractNumId w:val="7143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yx4ub3y1lb5.feishu.cn/minutes/obcn5t33234y5xk4r6f56v3q?t=547000" TargetMode="External" Type="http://schemas.openxmlformats.org/officeDocument/2006/relationships/hyperlink"/><Relationship Id="rId11" Target="https://yx4ub3y1lb5.feishu.cn/minutes/obcn5t33234y5xk4r6f56v3q?t=1107000" TargetMode="External" Type="http://schemas.openxmlformats.org/officeDocument/2006/relationships/hyperlink"/><Relationship Id="rId12" Target="https://yx4ub3y1lb5.feishu.cn/minutes/obcn5t33234y5xk4r6f56v3q?t=1168000" TargetMode="External" Type="http://schemas.openxmlformats.org/officeDocument/2006/relationships/hyperlink"/><Relationship Id="rId13" Target="https://yx4ub3y1lb5.feishu.cn/minutes/obcn5t33234y5xk4r6f56v3q?t=1980000" TargetMode="External" Type="http://schemas.openxmlformats.org/officeDocument/2006/relationships/hyperlink"/><Relationship Id="rId14" Target="https://yx4ub3y1lb5.feishu.cn/minutes/obcn5t33234y5xk4r6f56v3q?t=2400000" TargetMode="External" Type="http://schemas.openxmlformats.org/officeDocument/2006/relationships/hyperlink"/><Relationship Id="rId15" Target="https://yx4ub3y1lb5.feishu.cn/minutes/obcn5t33234y5xk4r6f56v3q?t=3097000" TargetMode="External" Type="http://schemas.openxmlformats.org/officeDocument/2006/relationships/hyperlink"/><Relationship Id="rId16" Target="https://yx4ub3y1lb5.feishu.cn/minutes/obcn5t33234y5xk4r6f56v3q?t=3982000" TargetMode="External" Type="http://schemas.openxmlformats.org/officeDocument/2006/relationships/hyperlink"/><Relationship Id="rId17" Target="https://yx4ub3y1lb5.feishu.cn/minutes/obcn5t33234y5xk4r6f56v3q?from=ai_minutes" TargetMode="External" Type="http://schemas.openxmlformats.org/officeDocument/2006/relationships/hyperlink"/><Relationship Id="rId18" Target="https://yx4ub3y1lb5.feishu.cn/docx/T1JVdGjCZo6n88xl3qLcwGzQnYd"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yx4ub3y1lb5.feishu.cn/minutes/obcn5t33234y5xk4r6f56v3q?t=0" TargetMode="External" Type="http://schemas.openxmlformats.org/officeDocument/2006/relationships/hyperlink"/><Relationship Id="rId8" Target="https://yx4ub3y1lb5.feishu.cn/minutes/obcn5t33234y5xk4r6f56v3q?t=209000" TargetMode="External" Type="http://schemas.openxmlformats.org/officeDocument/2006/relationships/hyperlink"/><Relationship Id="rId9" Target="https://yx4ub3y1lb5.feishu.cn/minutes/obcn5t33234y5xk4r6f56v3q?t=48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2026-08-03T08:07:38Z</dcterms:created>
  <dc:creator>Apache POI</dc:creator>
</cp:coreProperties>
</file>