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3. 达妙电机上手流程(三)-MIT模式说明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MIT 模式工作说明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下图是电机 MIT模式的控制框图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MIT 模式可实现 力矩、位置、速度三者混合控制，在上图中，位置环与速度环是并联形式，这里的位置环与速度环的输出值与前馈力矩 </w:t>
      </w:r>
      <w:r>
        <w:rPr>
          <w:rFonts w:eastAsia="等线" w:ascii="Arial" w:cs="Arial" w:hAnsi="Arial"/>
          <w:i w:val="true"/>
          <w:color w:val="dc9b04"/>
          <w:sz w:val="22"/>
        </w:rPr>
        <w:t xml:space="preserve">t_ff </w:t>
      </w:r>
      <w:r>
        <w:rPr>
          <w:rFonts w:eastAsia="等线" w:ascii="Arial" w:cs="Arial" w:hAnsi="Arial"/>
          <w:sz w:val="22"/>
        </w:rPr>
        <w:t xml:space="preserve">相加得到参考力矩 </w:t>
      </w:r>
      <w:r>
        <w:rPr>
          <w:rFonts w:eastAsia="等线" w:ascii="Arial" w:cs="Arial" w:hAnsi="Arial"/>
          <w:i w:val="true"/>
          <w:color w:val="dc9b04"/>
          <w:sz w:val="22"/>
        </w:rPr>
        <w:t xml:space="preserve">T_ref </w:t>
      </w:r>
      <w:r>
        <w:rPr>
          <w:rFonts w:eastAsia="等线" w:ascii="Arial" w:cs="Arial" w:hAnsi="Arial"/>
          <w:i w:val="true"/>
          <w:sz w:val="22"/>
        </w:rPr>
        <w:t xml:space="preserve"> :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</w:r>
      <m:oMathPara>
        <m:oMathParaPr>
          <m:jc m:val="center"/>
        </m:oMathParaPr>
        <m:oMath xmlns:mml="http://www.w3.org/1998/Math/MathML">
          <m:r>
            <w:rPr>
              <w:rFonts w:ascii="Cambria Math" w:hAnsi="Cambria Math"/>
            </w:rPr>
            <m:t>Tref=kp∗(pdes−θm)+kd∗(vdes−dθm)+tff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T_ref：</w:t>
      </w:r>
      <w:r>
        <w:rPr>
          <w:rFonts w:eastAsia="等线" w:ascii="Arial" w:cs="Arial" w:hAnsi="Arial"/>
          <w:sz w:val="22"/>
        </w:rPr>
        <w:t>为参考力矩，单位是</w:t>
      </w:r>
      <w:r>
        <w:rPr>
          <w:rFonts w:eastAsia="等线" w:ascii="Arial" w:cs="Arial" w:hAnsi="Arial"/>
          <w:i w:val="true"/>
          <w:sz w:val="22"/>
        </w:rPr>
        <w:t>N·m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kp：</w:t>
      </w:r>
      <w:r>
        <w:rPr>
          <w:rFonts w:eastAsia="等线" w:ascii="Arial" w:cs="Arial" w:hAnsi="Arial"/>
          <w:sz w:val="22"/>
        </w:rPr>
        <w:t>为位置增益。</w:t>
      </w:r>
      <w:r>
        <w:rPr>
          <w:rFonts w:eastAsia="等线" w:ascii="Arial" w:cs="Arial" w:hAnsi="Arial"/>
          <w:i w:val="true"/>
          <w:sz w:val="22"/>
        </w:rPr>
        <w:t>kd</w:t>
      </w:r>
      <w:r>
        <w:rPr>
          <w:rFonts w:eastAsia="等线" w:ascii="Arial" w:cs="Arial" w:hAnsi="Arial"/>
          <w:sz w:val="22"/>
        </w:rPr>
        <w:t>为速度增益。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p_des：</w:t>
      </w:r>
      <w:r>
        <w:rPr>
          <w:rFonts w:eastAsia="等线" w:ascii="Arial" w:cs="Arial" w:hAnsi="Arial"/>
          <w:sz w:val="22"/>
        </w:rPr>
        <w:t>为</w:t>
      </w:r>
      <w:r>
        <w:rPr>
          <w:rFonts w:eastAsia="等线" w:ascii="Arial" w:cs="Arial" w:hAnsi="Arial"/>
          <w:color w:val="2ea121"/>
          <w:sz w:val="22"/>
        </w:rPr>
        <w:t>电机输出轴</w:t>
      </w:r>
      <w:r>
        <w:rPr>
          <w:rFonts w:eastAsia="等线" w:ascii="Arial" w:cs="Arial" w:hAnsi="Arial"/>
          <w:sz w:val="22"/>
        </w:rPr>
        <w:t>的期望位置，单位为</w:t>
      </w:r>
      <w:r>
        <w:rPr>
          <w:rFonts w:eastAsia="等线" w:ascii="Arial" w:cs="Arial" w:hAnsi="Arial"/>
          <w:i w:val="true"/>
          <w:sz w:val="22"/>
        </w:rPr>
        <w:t>rad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θm</m:t>
          </m:r>
        </m:oMath>
      </m:oMathPara>
      <w:r>
        <w:rPr>
          <w:rFonts w:eastAsia="等线" w:ascii="Arial" w:cs="Arial" w:hAnsi="Arial"/>
          <w:sz w:val="22"/>
        </w:rPr>
        <w:t>：为</w:t>
      </w:r>
      <w:r>
        <w:rPr>
          <w:rFonts w:eastAsia="等线" w:ascii="Arial" w:cs="Arial" w:hAnsi="Arial"/>
          <w:color w:val="2ea121"/>
          <w:sz w:val="22"/>
        </w:rPr>
        <w:t>电机输出轴</w:t>
      </w:r>
      <w:r>
        <w:rPr>
          <w:rFonts w:eastAsia="等线" w:ascii="Arial" w:cs="Arial" w:hAnsi="Arial"/>
          <w:sz w:val="22"/>
        </w:rPr>
        <w:t>的当前位置，单位为</w:t>
      </w:r>
      <w:r>
        <w:rPr>
          <w:rFonts w:eastAsia="等线" w:ascii="Arial" w:cs="Arial" w:hAnsi="Arial"/>
          <w:i w:val="true"/>
          <w:sz w:val="22"/>
        </w:rPr>
        <w:t>rad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v_des：</w:t>
      </w:r>
      <w:r>
        <w:rPr>
          <w:rFonts w:eastAsia="等线" w:ascii="Arial" w:cs="Arial" w:hAnsi="Arial"/>
          <w:sz w:val="22"/>
        </w:rPr>
        <w:t>为</w:t>
      </w:r>
      <w:r>
        <w:rPr>
          <w:rFonts w:eastAsia="等线" w:ascii="Arial" w:cs="Arial" w:hAnsi="Arial"/>
          <w:color w:val="2ea121"/>
          <w:sz w:val="22"/>
        </w:rPr>
        <w:t>电机输出轴</w:t>
      </w:r>
      <w:r>
        <w:rPr>
          <w:rFonts w:eastAsia="等线" w:ascii="Arial" w:cs="Arial" w:hAnsi="Arial"/>
          <w:sz w:val="22"/>
        </w:rPr>
        <w:t>的期望速度，单位为</w:t>
      </w:r>
      <w:r>
        <w:rPr>
          <w:rFonts w:eastAsia="等线" w:ascii="Arial" w:cs="Arial" w:hAnsi="Arial"/>
          <w:i w:val="true"/>
          <w:sz w:val="22"/>
        </w:rPr>
        <w:t>rad/s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dθm</m:t>
          </m:r>
        </m:oMath>
      </m:oMathPara>
      <w:r>
        <w:rPr>
          <w:rFonts w:eastAsia="等线" w:ascii="Arial" w:cs="Arial" w:hAnsi="Arial"/>
          <w:sz w:val="22"/>
        </w:rPr>
        <w:t>：为</w:t>
      </w:r>
      <w:r>
        <w:rPr>
          <w:rFonts w:eastAsia="等线" w:ascii="Arial" w:cs="Arial" w:hAnsi="Arial"/>
          <w:color w:val="2ea121"/>
          <w:sz w:val="22"/>
        </w:rPr>
        <w:t>电机输出轴</w:t>
      </w:r>
      <w:r>
        <w:rPr>
          <w:rFonts w:eastAsia="等线" w:ascii="Arial" w:cs="Arial" w:hAnsi="Arial"/>
          <w:sz w:val="22"/>
        </w:rPr>
        <w:t>的当前速度，单位为</w:t>
      </w:r>
      <w:r>
        <w:rPr>
          <w:rFonts w:eastAsia="等线" w:ascii="Arial" w:cs="Arial" w:hAnsi="Arial"/>
          <w:i w:val="true"/>
          <w:sz w:val="22"/>
        </w:rPr>
        <w:t>rad/s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参考力矩 T_ref 经过KT_OUT换算，得到参考电流 iqref，从而进入后续的电流PI控制器。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</w:r>
      <m:oMathPara>
        <m:oMathParaPr>
          <m:jc m:val="center"/>
        </m:oMathParaPr>
        <m:oMath xmlns:mml="http://www.w3.org/1998/Math/MathML">
          <m:r>
            <w:rPr>
              <w:rFonts w:ascii="Cambria Math" w:hAnsi="Cambria Math"/>
            </w:rPr>
            <m:t>iqref=Tref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KTout</m:t>
          </m:r>
        </m:oMath>
      </m:oMathPara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</w:r>
      <m:oMathPara>
        <m:oMathParaPr>
          <m:jc m:val="center"/>
        </m:oMathParaPr>
        <m:oMath xmlns:mml="http://www.w3.org/1998/Math/MathML">
          <m:r>
            <w:rPr>
              <w:rFonts w:ascii="Cambria Math" w:hAnsi="Cambria Math"/>
            </w:rPr>
            <m:t>KTout=Kt∗GR</m:t>
          </m:r>
        </m:oMath>
      </m:oMathPara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</w:r>
      <m:oMathPara>
        <m:oMathParaPr>
          <m:jc m:val="center"/>
        </m:oMathParaPr>
        <m:oMath xmlns:mml="http://www.w3.org/1998/Math/MathML">
          <m:r>
            <w:rPr>
              <w:rFonts w:ascii="Cambria Math" w:hAnsi="Cambria Math"/>
            </w:rPr>
            <m:t>Kt=1.5∗NPP∗flux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iqref：</w:t>
      </w:r>
      <w:r>
        <w:rPr>
          <w:rFonts w:eastAsia="等线" w:ascii="Arial" w:cs="Arial" w:hAnsi="Arial"/>
          <w:sz w:val="22"/>
        </w:rPr>
        <w:t>为参考电流，单位为</w:t>
      </w:r>
      <w:r>
        <w:rPr>
          <w:rFonts w:eastAsia="等线" w:ascii="Arial" w:cs="Arial" w:hAnsi="Arial"/>
          <w:i w:val="true"/>
          <w:sz w:val="22"/>
        </w:rPr>
        <w:t>A。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GR：</w:t>
      </w:r>
      <w:r>
        <w:rPr>
          <w:rFonts w:eastAsia="等线" w:ascii="Arial" w:cs="Arial" w:hAnsi="Arial"/>
          <w:sz w:val="22"/>
        </w:rPr>
        <w:t>为电机减速比。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Kt：</w:t>
      </w:r>
      <w:r>
        <w:rPr>
          <w:rFonts w:eastAsia="等线" w:ascii="Arial" w:cs="Arial" w:hAnsi="Arial"/>
          <w:sz w:val="22"/>
        </w:rPr>
        <w:t>为减速前的转矩常数，单位是</w:t>
      </w:r>
      <w:r>
        <w:rPr>
          <w:rFonts w:eastAsia="等线" w:ascii="Arial" w:cs="Arial" w:hAnsi="Arial"/>
          <w:i w:val="true"/>
          <w:sz w:val="22"/>
        </w:rPr>
        <w:t>N·m/A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NPP：</w:t>
      </w:r>
      <w:r>
        <w:rPr>
          <w:rFonts w:eastAsia="等线" w:ascii="Arial" w:cs="Arial" w:hAnsi="Arial"/>
          <w:sz w:val="22"/>
        </w:rPr>
        <w:t>是极对数。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flux</w:t>
      </w:r>
      <w:r>
        <w:rPr>
          <w:rFonts w:eastAsia="等线" w:ascii="Arial" w:cs="Arial" w:hAnsi="Arial"/>
          <w:sz w:val="22"/>
        </w:rPr>
        <w:t>：磁链，单位是Wb，可以通过读电机参数得出。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MIT 模式用法说明</w:t>
      </w:r>
      <w:bookmarkEnd w:id="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i w:val="true"/>
          <w:color w:val="dc9b04"/>
          <w:sz w:val="22"/>
        </w:rPr>
        <w:t>kp=0</w:t>
      </w:r>
      <w:r>
        <w:rPr>
          <w:rFonts w:eastAsia="等线" w:ascii="Arial" w:cs="Arial" w:hAnsi="Arial"/>
          <w:color w:val="dc9b04"/>
          <w:sz w:val="22"/>
        </w:rPr>
        <w:t>，</w:t>
      </w:r>
      <w:r>
        <w:rPr>
          <w:rFonts w:eastAsia="等线" w:ascii="Arial" w:cs="Arial" w:hAnsi="Arial"/>
          <w:i w:val="true"/>
          <w:color w:val="dc9b04"/>
          <w:sz w:val="22"/>
        </w:rPr>
        <w:t xml:space="preserve">kd≠0 </w:t>
      </w:r>
      <w:r>
        <w:rPr>
          <w:rFonts w:eastAsia="等线" w:ascii="Arial" w:cs="Arial" w:hAnsi="Arial"/>
          <w:sz w:val="22"/>
        </w:rPr>
        <w:t xml:space="preserve">时，给定 </w:t>
      </w:r>
      <w:r>
        <w:rPr>
          <w:rFonts w:eastAsia="等线" w:ascii="Arial" w:cs="Arial" w:hAnsi="Arial"/>
          <w:i w:val="true"/>
          <w:color w:val="de7802"/>
          <w:sz w:val="22"/>
        </w:rPr>
        <w:t xml:space="preserve">v_des </w:t>
      </w:r>
      <w:r>
        <w:rPr>
          <w:rFonts w:eastAsia="等线" w:ascii="Arial" w:cs="Arial" w:hAnsi="Arial"/>
          <w:sz w:val="22"/>
        </w:rPr>
        <w:t xml:space="preserve">即可实现匀速转动。匀速转动过程中存在静差，另外 </w:t>
      </w:r>
      <w:r>
        <w:rPr>
          <w:rFonts w:eastAsia="等线" w:ascii="Arial" w:cs="Arial" w:hAnsi="Arial"/>
          <w:i w:val="true"/>
          <w:color w:val="dc9b04"/>
          <w:sz w:val="22"/>
        </w:rPr>
        <w:t>kd</w:t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不宜过大，</w:t>
      </w:r>
      <w:r>
        <w:rPr>
          <w:rFonts w:eastAsia="等线" w:ascii="Arial" w:cs="Arial" w:hAnsi="Arial"/>
          <w:i w:val="true"/>
          <w:color w:val="dc9b04"/>
          <w:sz w:val="22"/>
        </w:rPr>
        <w:t xml:space="preserve"> kd</w:t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过大时会引起震荡。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i w:val="true"/>
          <w:color w:val="dc9b04"/>
          <w:sz w:val="22"/>
        </w:rPr>
        <w:t>kp=0</w:t>
      </w:r>
      <w:r>
        <w:rPr>
          <w:rFonts w:eastAsia="等线" w:ascii="Arial" w:cs="Arial" w:hAnsi="Arial"/>
          <w:color w:val="dc9b04"/>
          <w:sz w:val="22"/>
        </w:rPr>
        <w:t>，</w:t>
      </w:r>
      <w:r>
        <w:rPr>
          <w:rFonts w:eastAsia="等线" w:ascii="Arial" w:cs="Arial" w:hAnsi="Arial"/>
          <w:i w:val="true"/>
          <w:color w:val="dc9b04"/>
          <w:sz w:val="22"/>
        </w:rPr>
        <w:t xml:space="preserve">kd=0 </w:t>
      </w:r>
      <w:r>
        <w:rPr>
          <w:rFonts w:eastAsia="等线" w:ascii="Arial" w:cs="Arial" w:hAnsi="Arial"/>
          <w:sz w:val="22"/>
        </w:rPr>
        <w:t xml:space="preserve">时，给定 </w:t>
      </w:r>
      <w:r>
        <w:rPr>
          <w:rFonts w:eastAsia="等线" w:ascii="Arial" w:cs="Arial" w:hAnsi="Arial"/>
          <w:i w:val="true"/>
          <w:color w:val="de7802"/>
          <w:sz w:val="22"/>
        </w:rPr>
        <w:t xml:space="preserve">t_ff </w:t>
      </w:r>
      <w:r>
        <w:rPr>
          <w:rFonts w:eastAsia="等线" w:ascii="Arial" w:cs="Arial" w:hAnsi="Arial"/>
          <w:sz w:val="22"/>
        </w:rPr>
        <w:t xml:space="preserve">即可实现给定扭矩输出。在该情况下，电机会持续输出一个恒定力矩。但是当电机空转或负载较小时，如果给定 </w:t>
      </w:r>
      <w:r>
        <w:rPr>
          <w:rFonts w:eastAsia="等线" w:ascii="Arial" w:cs="Arial" w:hAnsi="Arial"/>
          <w:i w:val="true"/>
          <w:color w:val="de7802"/>
          <w:sz w:val="22"/>
        </w:rPr>
        <w:t>t_ff</w:t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较大，电机会持续加速，直到加速到最大速度，这时也仍然达不到目标力矩 </w:t>
      </w:r>
      <w:r>
        <w:rPr>
          <w:rFonts w:eastAsia="等线" w:ascii="Arial" w:cs="Arial" w:hAnsi="Arial"/>
          <w:i w:val="true"/>
          <w:color w:val="de7802"/>
          <w:sz w:val="22"/>
        </w:rPr>
        <w:t>t_ff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i w:val="true"/>
          <w:color w:val="dc9b04"/>
          <w:sz w:val="22"/>
        </w:rPr>
        <w:t>kp≠0，kd=0</w:t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时，会引起震荡。即对位置进行控制时，</w:t>
      </w:r>
      <w:r>
        <w:rPr>
          <w:rFonts w:eastAsia="等线" w:ascii="Arial" w:cs="Arial" w:hAnsi="Arial"/>
          <w:i w:val="true"/>
          <w:color w:val="dc9b04"/>
          <w:sz w:val="22"/>
        </w:rPr>
        <w:t xml:space="preserve">kd </w:t>
      </w:r>
      <w:r>
        <w:rPr>
          <w:rFonts w:eastAsia="等线" w:ascii="Arial" w:cs="Arial" w:hAnsi="Arial"/>
          <w:sz w:val="22"/>
        </w:rPr>
        <w:t>不能赋0，否则会造成电机震荡，甚至失控。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i w:val="true"/>
          <w:color w:val="dc9b04"/>
          <w:sz w:val="22"/>
        </w:rPr>
        <w:t>kp≠0，kd≠0</w:t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时，有多种情况，这里下面简单介绍两种情况。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当期望位置 </w:t>
      </w:r>
      <w:r>
        <w:rPr>
          <w:rFonts w:eastAsia="等线" w:ascii="Arial" w:cs="Arial" w:hAnsi="Arial"/>
          <w:i w:val="true"/>
          <w:color w:val="de7802"/>
          <w:sz w:val="22"/>
        </w:rPr>
        <w:t>p_des</w:t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为常量，期望速度 </w:t>
      </w:r>
      <w:r>
        <w:rPr>
          <w:rFonts w:eastAsia="等线" w:ascii="Arial" w:cs="Arial" w:hAnsi="Arial"/>
          <w:i w:val="true"/>
          <w:color w:val="2ea121"/>
          <w:sz w:val="22"/>
        </w:rPr>
        <w:t>v_des</w:t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为0时，可实现定点控制，在这个过程中，实际位置趋近于</w:t>
      </w:r>
      <w:r>
        <w:rPr>
          <w:rFonts w:eastAsia="等线" w:ascii="Arial" w:cs="Arial" w:hAnsi="Arial"/>
          <w:i w:val="true"/>
          <w:color w:val="de7802"/>
          <w:sz w:val="22"/>
        </w:rPr>
        <w:t>p_des</w:t>
      </w:r>
      <w:r>
        <w:rPr>
          <w:rFonts w:eastAsia="等线" w:ascii="Arial" w:cs="Arial" w:hAnsi="Arial"/>
          <w:sz w:val="22"/>
        </w:rPr>
        <w:t xml:space="preserve">，实际速度 </w:t>
      </w:r>
      <w:r>
        <w:rPr>
          <w:rFonts w:eastAsia="等线" w:ascii="Arial" w:cs="Arial" w:hAnsi="Arial"/>
          <w:i w:val="true"/>
          <w:color w:val="2ea121"/>
          <w:sz w:val="22"/>
        </w:rPr>
        <w:t>dθm</w:t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趋近于0。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</w:t>
      </w:r>
      <w:r>
        <w:rPr>
          <w:rFonts w:eastAsia="等线" w:ascii="Arial" w:cs="Arial" w:hAnsi="Arial"/>
          <w:i w:val="true"/>
          <w:sz w:val="22"/>
        </w:rPr>
        <w:t>p_des</w:t>
      </w:r>
      <w:r>
        <w:rPr>
          <w:rFonts w:eastAsia="等线" w:ascii="Arial" w:cs="Arial" w:hAnsi="Arial"/>
          <w:sz w:val="22"/>
        </w:rPr>
        <w:t xml:space="preserve">是随时间变化的连续可导函数时，同时 </w:t>
      </w:r>
      <w:r>
        <w:rPr>
          <w:rFonts w:eastAsia="等线" w:ascii="Arial" w:cs="Arial" w:hAnsi="Arial"/>
          <w:i w:val="true"/>
          <w:color w:val="2ea121"/>
          <w:sz w:val="22"/>
        </w:rPr>
        <w:t>v_des</w:t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是 </w:t>
      </w:r>
      <w:r>
        <w:rPr>
          <w:rFonts w:eastAsia="等线" w:ascii="Arial" w:cs="Arial" w:hAnsi="Arial"/>
          <w:i w:val="true"/>
          <w:color w:val="de7802"/>
          <w:sz w:val="22"/>
        </w:rPr>
        <w:t>p_des</w:t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的导数，可实现位置跟踪和速度跟踪，即按照期望速度旋转期望角度。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以下是基于达妙H7开发板的一个简单例子：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mit 模式控制函数</w:t>
              <w:br/>
              <w:t>void mit_ctrl(hcan_t* hcan, motor_t *motor, uint16_t motor_id, float pos, float vel,float kp, float kd, float tor)</w:t>
              <w:br/>
              <w:t>{</w:t>
              <w:br/>
              <w:t xml:space="preserve">    uint8_t data[8];</w:t>
              <w:br/>
              <w:t xml:space="preserve">    uint16_t pos_tmp,vel_tmp,kp_tmp,kd_tmp,tor_tmp;</w:t>
              <w:br/>
              <w:t xml:space="preserve">    uint16_t id = motor_id + MIT_MODE;</w:t>
              <w:br/>
              <w:br/>
              <w:t xml:space="preserve">    pos_tmp = float_to_uint(pos, -motor-&gt;tmp.PMAX, motor-&gt;tmp.PMAX, 16);</w:t>
              <w:br/>
              <w:t xml:space="preserve">    vel_tmp = float_to_uint(vel, -motor-&gt;tmp.VMAX, motor-&gt;tmp.VMAX, 12);</w:t>
              <w:br/>
              <w:t xml:space="preserve">    tor_tmp = float_to_uint(tor, -motor-&gt;tmp.TMAX, motor-&gt;tmp.TMAX, 12);</w:t>
              <w:br/>
              <w:t xml:space="preserve">    kp_tmp  = float_to_uint(kp,  KP_MIN, KP_MAX, 12);</w:t>
              <w:br/>
              <w:t xml:space="preserve">    kd_tmp  = float_to_uint(kd,  KD_MIN, KD_MAX, 12);</w:t>
              <w:br/>
              <w:br/>
              <w:t xml:space="preserve">    data[0] = (pos_tmp &gt;&gt; 8);</w:t>
              <w:br/>
              <w:t xml:space="preserve">    data[1] = pos_tmp;</w:t>
              <w:br/>
              <w:t xml:space="preserve">    data[2] = (vel_tmp &gt;&gt; 4);</w:t>
              <w:br/>
              <w:t xml:space="preserve">    data[3] = ((vel_tmp&amp;0xF)&lt;&lt;4)|(kp_tmp&gt;&gt;8);</w:t>
              <w:br/>
              <w:t xml:space="preserve">    data[4] = kp_tmp;</w:t>
              <w:br/>
              <w:t xml:space="preserve">    data[5] = (kd_tmp &gt;&gt; 4);</w:t>
              <w:br/>
              <w:t xml:space="preserve">    data[6] = ((kd_tmp&amp;0xF)&lt;&lt;4)|(tor_tmp&gt;&gt;8);</w:t>
              <w:br/>
              <w:t xml:space="preserve">    data[7] = tor_tmp;</w:t>
              <w:br/>
              <w:t xml:space="preserve">    </w:t>
              <w:br/>
              <w:t xml:space="preserve">    fdcanx_send_data(hcan, id, data, 8);</w:t>
              <w:br/>
              <w:t>}</w:t>
              <w:br/>
              <w:br/>
              <w:t>// 1ms 定时器中断函数</w:t>
              <w:br/>
              <w:t>void HAL_TIM_PeriodElapsedCallback(TIM_HandleTypeDef *htim)</w:t>
              <w:br/>
              <w:t>{</w:t>
              <w:br/>
              <w:t xml:space="preserve">    if (htim-&gt;Instance == TIM3) {</w:t>
              <w:br/>
              <w:t xml:space="preserve">       time=time+0.001f;     </w:t>
              <w:br/>
              <w:t xml:space="preserve">        kp=1.0f;  </w:t>
              <w:br/>
              <w:t xml:space="preserve">        kd=1.0f;  </w:t>
              <w:br/>
              <w:t xml:space="preserve">        tor_set=0.0f;  </w:t>
              <w:br/>
              <w:t xml:space="preserve">        pos_set=sin(2*3.1415926f*1.0f*time);  </w:t>
              <w:br/>
              <w:t xml:space="preserve">        vel_set=2*3.1415926f*1.0f*cos(2*3.1415926f*1.0f*time);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mit_ctrl(&amp;hfdcan1, 1,pos_set, vel_set,kp, kd,tor_set); //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MIT模式发送力矩  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如图，在1ms定时器中断函数中发送控制指令给 DM4310 电机，此时电机是空载状态。这里设定的期望位置 </w:t>
      </w:r>
      <w:r>
        <w:rPr>
          <w:rFonts w:eastAsia="等线" w:ascii="Arial" w:cs="Arial" w:hAnsi="Arial"/>
          <w:i w:val="true"/>
          <w:color w:val="de7802"/>
          <w:sz w:val="22"/>
        </w:rPr>
        <w:t>p_des</w:t>
      </w:r>
      <w:r>
        <w:rPr>
          <w:rFonts w:eastAsia="等线" w:ascii="Arial" w:cs="Arial" w:hAnsi="Arial"/>
          <w:sz w:val="22"/>
        </w:rPr>
        <w:t xml:space="preserve">是1HZ、幅值为1的正弦信号，期望速度 </w:t>
      </w:r>
      <w:r>
        <w:rPr>
          <w:rFonts w:eastAsia="等线" w:ascii="Arial" w:cs="Arial" w:hAnsi="Arial"/>
          <w:i w:val="true"/>
          <w:color w:val="2ea121"/>
          <w:sz w:val="22"/>
        </w:rPr>
        <w:t xml:space="preserve">v_des </w:t>
      </w:r>
      <w:r>
        <w:rPr>
          <w:rFonts w:eastAsia="等线" w:ascii="Arial" w:cs="Arial" w:hAnsi="Arial"/>
          <w:sz w:val="22"/>
        </w:rPr>
        <w:t xml:space="preserve">是对应的导数，Kp为1，kd为1，前馈力矩 </w:t>
      </w:r>
      <w:r>
        <w:rPr>
          <w:rFonts w:eastAsia="等线" w:ascii="Arial" w:cs="Arial" w:hAnsi="Arial"/>
          <w:color w:val="dc9b04"/>
          <w:sz w:val="22"/>
        </w:rPr>
        <w:t>tor_set</w:t>
      </w:r>
      <w:r>
        <w:rPr>
          <w:rFonts w:eastAsia="等线" w:ascii="Arial" w:cs="Arial" w:hAnsi="Arial"/>
          <w:sz w:val="22"/>
        </w:rPr>
        <w:t xml:space="preserve"> 为0。结果如下：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速度跟踪图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位置跟踪图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如图，在该条件下电机具有一定的跟踪效果。</w:t>
      </w:r>
      <w:r>
        <w:rPr>
          <w:rFonts w:eastAsia="等线" w:ascii="Arial" w:cs="Arial" w:hAnsi="Arial"/>
          <w:color w:val="dc9b04"/>
          <w:sz w:val="22"/>
        </w:rPr>
        <w:t>当电机带有负载时，则需要加入前馈力矩进行补偿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77541">
    <w:lvl>
      <w:numFmt w:val="bullet"/>
      <w:suff w:val="tab"/>
      <w:lvlText w:val="•"/>
      <w:rPr>
        <w:color w:val="3370ff"/>
      </w:rPr>
    </w:lvl>
  </w:abstractNum>
  <w:abstractNum w:abstractNumId="977542">
    <w:lvl>
      <w:numFmt w:val="bullet"/>
      <w:suff w:val="tab"/>
      <w:lvlText w:val="•"/>
      <w:rPr>
        <w:color w:val="3370ff"/>
      </w:rPr>
    </w:lvl>
  </w:abstractNum>
  <w:abstractNum w:abstractNumId="977543">
    <w:lvl>
      <w:numFmt w:val="bullet"/>
      <w:suff w:val="tab"/>
      <w:lvlText w:val="•"/>
      <w:rPr>
        <w:color w:val="3370ff"/>
      </w:rPr>
    </w:lvl>
  </w:abstractNum>
  <w:abstractNum w:abstractNumId="977544">
    <w:lvl>
      <w:numFmt w:val="bullet"/>
      <w:suff w:val="tab"/>
      <w:lvlText w:val="•"/>
      <w:rPr>
        <w:color w:val="3370ff"/>
      </w:rPr>
    </w:lvl>
  </w:abstractNum>
  <w:abstractNum w:abstractNumId="977545">
    <w:lvl>
      <w:numFmt w:val="bullet"/>
      <w:suff w:val="tab"/>
      <w:lvlText w:val="•"/>
      <w:rPr>
        <w:color w:val="3370ff"/>
      </w:rPr>
    </w:lvl>
  </w:abstractNum>
  <w:abstractNum w:abstractNumId="977546">
    <w:lvl>
      <w:numFmt w:val="bullet"/>
      <w:suff w:val="tab"/>
      <w:lvlText w:val="•"/>
      <w:rPr>
        <w:color w:val="3370ff"/>
      </w:rPr>
    </w:lvl>
  </w:abstractNum>
  <w:abstractNum w:abstractNumId="977547">
    <w:lvl>
      <w:numFmt w:val="bullet"/>
      <w:suff w:val="tab"/>
      <w:lvlText w:val="•"/>
      <w:rPr>
        <w:color w:val="3370ff"/>
      </w:rPr>
    </w:lvl>
  </w:abstractNum>
  <w:abstractNum w:abstractNumId="977548">
    <w:lvl>
      <w:numFmt w:val="bullet"/>
      <w:suff w:val="tab"/>
      <w:lvlText w:val="•"/>
      <w:rPr>
        <w:color w:val="3370ff"/>
      </w:rPr>
    </w:lvl>
  </w:abstractNum>
  <w:abstractNum w:abstractNumId="977549">
    <w:lvl>
      <w:numFmt w:val="bullet"/>
      <w:suff w:val="tab"/>
      <w:lvlText w:val="•"/>
      <w:rPr>
        <w:color w:val="3370ff"/>
      </w:rPr>
    </w:lvl>
  </w:abstractNum>
  <w:abstractNum w:abstractNumId="977550">
    <w:lvl>
      <w:numFmt w:val="bullet"/>
      <w:suff w:val="tab"/>
      <w:lvlText w:val="•"/>
      <w:rPr>
        <w:color w:val="3370ff"/>
      </w:rPr>
    </w:lvl>
  </w:abstractNum>
  <w:abstractNum w:abstractNumId="977551">
    <w:lvl>
      <w:numFmt w:val="bullet"/>
      <w:suff w:val="tab"/>
      <w:lvlText w:val="•"/>
      <w:rPr>
        <w:color w:val="3370ff"/>
      </w:rPr>
    </w:lvl>
  </w:abstractNum>
  <w:abstractNum w:abstractNumId="977552">
    <w:lvl>
      <w:start w:val="1"/>
      <w:numFmt w:val="decimal"/>
      <w:suff w:val="tab"/>
      <w:lvlText w:val="%1."/>
      <w:rPr>
        <w:color w:val="3370ff"/>
      </w:rPr>
    </w:lvl>
  </w:abstractNum>
  <w:abstractNum w:abstractNumId="977553">
    <w:lvl>
      <w:start w:val="2"/>
      <w:numFmt w:val="decimal"/>
      <w:suff w:val="tab"/>
      <w:lvlText w:val="%1."/>
      <w:rPr>
        <w:color w:val="3370ff"/>
      </w:rPr>
    </w:lvl>
  </w:abstractNum>
  <w:abstractNum w:abstractNumId="977554">
    <w:lvl>
      <w:start w:val="3"/>
      <w:numFmt w:val="decimal"/>
      <w:suff w:val="tab"/>
      <w:lvlText w:val="%1."/>
      <w:rPr>
        <w:color w:val="3370ff"/>
      </w:rPr>
    </w:lvl>
  </w:abstractNum>
  <w:abstractNum w:abstractNumId="977555">
    <w:lvl>
      <w:start w:val="4"/>
      <w:numFmt w:val="decimal"/>
      <w:suff w:val="tab"/>
      <w:lvlText w:val="%1."/>
      <w:rPr>
        <w:color w:val="3370ff"/>
      </w:rPr>
    </w:lvl>
  </w:abstractNum>
  <w:abstractNum w:abstractNumId="977556">
    <w:lvl>
      <w:numFmt w:val="bullet"/>
      <w:suff w:val="tab"/>
      <w:lvlText w:val="•"/>
      <w:rPr>
        <w:color w:val="3370ff"/>
      </w:rPr>
    </w:lvl>
  </w:abstractNum>
  <w:abstractNum w:abstractNumId="977557">
    <w:lvl>
      <w:numFmt w:val="bullet"/>
      <w:suff w:val="tab"/>
      <w:lvlText w:val="•"/>
      <w:rPr>
        <w:color w:val="3370ff"/>
      </w:rPr>
    </w:lvl>
  </w:abstractNum>
  <w:abstractNum w:abstractNumId="977558">
    <w:lvl>
      <w:numFmt w:val="bullet"/>
      <w:suff w:val="tab"/>
      <w:lvlText w:val="•"/>
      <w:rPr>
        <w:color w:val="3370ff"/>
      </w:rPr>
    </w:lvl>
  </w:abstractNum>
  <w:abstractNum w:abstractNumId="977559">
    <w:lvl>
      <w:numFmt w:val="bullet"/>
      <w:suff w:val="tab"/>
      <w:lvlText w:val="•"/>
      <w:rPr>
        <w:color w:val="3370ff"/>
      </w:rPr>
    </w:lvl>
  </w:abstractNum>
  <w:num w:numId="1">
    <w:abstractNumId w:val="977541"/>
  </w:num>
  <w:num w:numId="2">
    <w:abstractNumId w:val="977542"/>
  </w:num>
  <w:num w:numId="3">
    <w:abstractNumId w:val="977543"/>
  </w:num>
  <w:num w:numId="4">
    <w:abstractNumId w:val="977544"/>
  </w:num>
  <w:num w:numId="5">
    <w:abstractNumId w:val="977545"/>
  </w:num>
  <w:num w:numId="6">
    <w:abstractNumId w:val="977546"/>
  </w:num>
  <w:num w:numId="7">
    <w:abstractNumId w:val="977547"/>
  </w:num>
  <w:num w:numId="8">
    <w:abstractNumId w:val="977548"/>
  </w:num>
  <w:num w:numId="9">
    <w:abstractNumId w:val="977549"/>
  </w:num>
  <w:num w:numId="10">
    <w:abstractNumId w:val="977550"/>
  </w:num>
  <w:num w:numId="11">
    <w:abstractNumId w:val="977551"/>
  </w:num>
  <w:num w:numId="12">
    <w:abstractNumId w:val="977552"/>
  </w:num>
  <w:num w:numId="13">
    <w:abstractNumId w:val="977553"/>
  </w:num>
  <w:num w:numId="14">
    <w:abstractNumId w:val="977554"/>
  </w:num>
  <w:num w:numId="15">
    <w:abstractNumId w:val="977555"/>
  </w:num>
  <w:num w:numId="16">
    <w:abstractNumId w:val="977556"/>
  </w:num>
  <w:num w:numId="17">
    <w:abstractNumId w:val="977557"/>
  </w:num>
  <w:num w:numId="18">
    <w:abstractNumId w:val="977558"/>
  </w:num>
  <w:num w:numId="19">
    <w:abstractNumId w:val="9775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2026-05-03T02:24:34Z</dcterms:created>
  <dc:creator>Apache POI</dc:creator>
</cp:coreProperties>
</file>