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MU｜Micron Technology（美光科技）个股档案·专业投资版</w:t>
      </w:r>
    </w:p>
    <w:p/>
    <w:p>
      <w:r>
        <w:t>资料截止：2026年10月2日。财务以9月30日发布、截至9月3日的2026财年第四季度及全年业绩为准；公司财年不等于自然年。行情基准：2026年10月1日美股常规交易收盘，1097.39美元，较前收盘上涨3.03%，总市值约1.239万亿美元。下文金额除每股数据、股价外统一用“亿美元”。盘后、夜盘不混入收盘基准。</w:t>
      </w:r>
    </w:p>
    <w:p/>
    <w:p>
      <w:hyperlink r:id="rId10">
        <w:r>
          <w:rPr>
            <w:color w:val="0563C1"/>
            <w:u w:val="single"/>
          </w:rPr>
          <w:t>Longbridge美光行情入口</w:t>
        </w:r>
      </w:hyperlink>
      <w:r>
        <w:t>。下文技术与相关性由2026年10月2日取得的原始前复权日K线独立计算；网页最新报价可能随后变化。</w:t>
      </w:r>
    </w:p>
    <w:p/>
    <w:p>
      <w:r>
        <w:t>本文把公司已披露事实、管理层展望和研究情景分开；不是针对个人资产配置的买卖建议。最新全年业绩公告所附报表未经审计，不能称为已完成审计的2026年报。行情与历史日线取自Longbridge，财务关键项以公司公告和美国证券交易委员会原件交叉核验。</w:t>
      </w:r>
    </w:p>
    <w:p/>
    <w:p>
      <w:pPr>
        <w:pStyle w:val="Heading2"/>
      </w:pPr>
      <w:r>
        <w:t>先给核心结论</w:t>
      </w:r>
    </w:p>
    <w:p/>
    <w:p>
      <w:r>
        <w:t>1. 美光已从“等待存储涨价的周期股”进入“极端供需紧张、AI产品升级与长约重构同时发生”的阶段。2026财年收入1331.88亿美元，第四季度毛利率已到86.8%，此时最难的问题不是还能不能赚钱，而是今天的超额利润能持续多久。</w:t>
      </w:r>
    </w:p>
    <w:p>
      <w:r>
        <w:t>2. 不要把MU简化为HBM。第四季度常规DRAM大幅涨价，NAND均价环比约升30%，数据中心固态硬盘收入接近100亿美元。多条产品线共同兑现，才解释得了财务跳升。</w:t>
      </w:r>
    </w:p>
    <w:p>
      <w:r>
        <w:t>3. HBM具有技术和客户黏性，却不等于当下毛利率最高。公司明确说，云内存业务较高HBM占比抵消了涨价对毛利率的帮助；2027年HBM提价将缩小它与常规DRAM的毛利率差距。</w:t>
      </w:r>
    </w:p>
    <w:p>
      <w:r>
        <w:t>4. 26份战略客户协议、约1500亿美元剩余履约义务，是利润稳定性的重要新证据，但不是1500亿美元利润。价格框架、履约、交付成本和未覆盖收入仍决定最后结果。</w:t>
      </w:r>
    </w:p>
    <w:p>
      <w:r>
        <w:t>5. 资产负债表很强，但客户现金押金具有条件返还义务。2026财年127.47亿美元押金流入被列入融资活动，不能误说它抬高了经营现金流或公司自由现金流。</w:t>
      </w:r>
    </w:p>
    <w:p>
      <w:r>
        <w:t>6. 当前股价约为2026财年公认会计准则每股收益的14.8倍；把下一季调整后收益机械乘四会得到约7.2倍。后一个数字很好看，也最容易掩盖周期顶部风险。</w:t>
      </w:r>
    </w:p>
    <w:p>
      <w:r>
        <w:t>7. 我的判断：基本面仍强，估值争议已从“AI有没有需求”转为“异常高利润能否跨越扩产周期”。核心仓位逻辑要靠长约底价、技术领先和跨周期现金回报，而不是仅靠下一次价格上涨。</w:t>
      </w:r>
    </w:p>
    <w:p/>
    <w:p>
      <w:pPr>
        <w:pStyle w:val="Heading2"/>
      </w:pPr>
      <w:r>
        <w:t>1. 一句话看懂公司</w:t>
      </w:r>
    </w:p>
    <w:p/>
    <w:p>
      <w:r>
        <w:t>美光是一家自己设计、制造并销售存储芯片的全球厂商，为计算设备提供“工作中的记忆”和“长期保存的数据空间”。</w:t>
      </w:r>
    </w:p>
    <w:p/>
    <w:p>
      <w:r>
        <w:t>动态随机存取存储器（DRAM）类似工作台；高带宽内存（HBM）是紧贴AI计算芯片、以极高速度递送数据的特殊工作台；NAND闪存与固态硬盘（SSD）更接近储藏室。它们不是GPU，却会限制GPU能否持续满负荷工作。</w:t>
      </w:r>
    </w:p>
    <w:p/>
    <w:p>
      <w:r>
        <w:t>美光的经济价值来自：客户需要多少存储容量、每单位容量售价、制造成本、产品结构和为此占用的资本。只看“AI服务器销量”会漏掉价格、容量升级和供给限制这三个放大器，也会漏掉它们反转时的风险。</w:t>
      </w:r>
    </w:p>
    <w:p/>
    <w:p>
      <w:pPr>
        <w:pStyle w:val="Heading2"/>
      </w:pPr>
      <w:r>
        <w:t>2. 商业模式</w:t>
      </w:r>
    </w:p>
    <w:p/>
    <w:p>
      <w:r>
        <w:t>第一层是技术。公司研发新一代DRAM和NAND工艺，让同一片晶圆产出更多可售容量，并改善速度、能耗与可靠性。先进节点不是单纯营销名称，真正有用的是良率、成本和客户是否量产采用。</w:t>
      </w:r>
    </w:p>
    <w:p/>
    <w:p>
      <w:r>
        <w:t>第二层是制造。厂房、光刻与蚀刻设备、封装和测试必须先投入；产品卖不出去时，折旧与固定费用不会同步消失。这使美光具有很强的经营杠杆：涨价时利润增长快于收入，跌价时也可能迅速亏损。</w:t>
      </w:r>
    </w:p>
    <w:p/>
    <w:p>
      <w:r>
        <w:t>第三层是产品与客户。标准存储相对容易比价，HBM、高容量服务器模块、企业级SSD则涉及系统设计、固件、认证和较长验证周期。产品越深入客户平台，客户越难只凭当天报价换供应商；但技术失误导致错过平台周期的代价也更大。</w:t>
      </w:r>
    </w:p>
    <w:p/>
    <w:p>
      <w:r>
        <w:t>另一个已发生的取舍是退出Crucial消费品牌零售业务，相关渠道出货安排截至2026年2月；这不等于不再供应手机和PC厂商，移动与客户端仍是重要业务。</w:t>
      </w:r>
      <w:hyperlink r:id="rId11">
        <w:r>
          <w:rPr>
            <w:color w:val="0563C1"/>
            <w:u w:val="single"/>
          </w:rPr>
          <w:t>官方品牌退出公告</w:t>
        </w:r>
      </w:hyperlink>
    </w:p>
    <w:p/>
    <w:p>
      <w:r>
        <w:t>第四层是合同。战略客户协议（SCA）通过多年数量承诺和部分价格框架，提高供需规划可见度。它改变的是交易结构，不是取消市场风险。利润仍来自交付合格产品，客户承诺与客户付款都不能直接当作当期销售收入。</w:t>
      </w:r>
      <w:hyperlink r:id="rId12">
        <w:r>
          <w:rPr>
            <w:color w:val="0563C1"/>
            <w:u w:val="single"/>
          </w:rPr>
          <w:t>公司业务与风险说明</w:t>
        </w:r>
      </w:hyperlink>
    </w:p>
    <w:p/>
    <w:p>
      <w:pPr>
        <w:pStyle w:val="Heading2"/>
      </w:pPr>
      <w:r>
        <w:t>3. 收入结构</w:t>
      </w:r>
    </w:p>
    <w:p/>
    <w:p>
      <w:r>
        <w:t>2026财年第四季度，按技术划分：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技术</w:t>
            </w:r>
          </w:p>
        </w:tc>
        <w:tc>
          <w:tcPr>
            <w:tcW w:type="dxa" w:w="2412"/>
          </w:tcPr>
          <w:p>
            <w:r>
              <w:t>收入</w:t>
            </w:r>
          </w:p>
        </w:tc>
        <w:tc>
          <w:tcPr>
            <w:tcW w:type="dxa" w:w="2412"/>
          </w:tcPr>
          <w:p>
            <w:r>
              <w:t>收入占比</w:t>
            </w:r>
          </w:p>
        </w:tc>
        <w:tc>
          <w:tcPr>
            <w:tcW w:type="dxa" w:w="2412"/>
          </w:tcPr>
          <w:p>
            <w:r>
              <w:t>主要经济驱动</w:t>
            </w:r>
          </w:p>
        </w:tc>
      </w:tr>
      <w:tr>
        <w:tc>
          <w:tcPr>
            <w:tcW w:type="dxa" w:w="2412"/>
          </w:tcPr>
          <w:p>
            <w:r>
              <w:t>DRAM，包含HBM</w:t>
            </w:r>
          </w:p>
        </w:tc>
        <w:tc>
          <w:tcPr>
            <w:tcW w:type="dxa" w:w="2412"/>
          </w:tcPr>
          <w:p>
            <w:r>
              <w:t>397.71亿美元</w:t>
            </w:r>
          </w:p>
        </w:tc>
        <w:tc>
          <w:tcPr>
            <w:tcW w:type="dxa" w:w="2412"/>
          </w:tcPr>
          <w:p>
            <w:r>
              <w:t>约73%</w:t>
            </w:r>
          </w:p>
        </w:tc>
        <w:tc>
          <w:tcPr>
            <w:tcW w:type="dxa" w:w="2412"/>
          </w:tcPr>
          <w:p>
            <w:r>
              <w:t>常规DRAM涨价、HBM与服务器容量升级</w:t>
            </w:r>
          </w:p>
        </w:tc>
      </w:tr>
      <w:tr>
        <w:tc>
          <w:tcPr>
            <w:tcW w:type="dxa" w:w="2412"/>
          </w:tcPr>
          <w:p>
            <w:r>
              <w:t>NAND</w:t>
            </w:r>
          </w:p>
        </w:tc>
        <w:tc>
          <w:tcPr>
            <w:tcW w:type="dxa" w:w="2412"/>
          </w:tcPr>
          <w:p>
            <w:r>
              <w:t>141.02亿美元</w:t>
            </w:r>
          </w:p>
        </w:tc>
        <w:tc>
          <w:tcPr>
            <w:tcW w:type="dxa" w:w="2412"/>
          </w:tcPr>
          <w:p>
            <w:r>
              <w:t>约26%</w:t>
            </w:r>
          </w:p>
        </w:tc>
        <w:tc>
          <w:tcPr>
            <w:tcW w:type="dxa" w:w="2412"/>
          </w:tcPr>
          <w:p>
            <w:r>
              <w:t>企业级SSD、位出货增长、显著提价</w:t>
            </w:r>
          </w:p>
        </w:tc>
      </w:tr>
      <w:tr>
        <w:tc>
          <w:tcPr>
            <w:tcW w:type="dxa" w:w="2412"/>
          </w:tcPr>
          <w:p>
            <w:r>
              <w:t>其他，主要为NOR</w:t>
            </w:r>
          </w:p>
        </w:tc>
        <w:tc>
          <w:tcPr>
            <w:tcW w:type="dxa" w:w="2412"/>
          </w:tcPr>
          <w:p>
            <w:r>
              <w:t>3.56亿美元</w:t>
            </w:r>
          </w:p>
        </w:tc>
        <w:tc>
          <w:tcPr>
            <w:tcW w:type="dxa" w:w="2412"/>
          </w:tcPr>
          <w:p>
            <w:r>
              <w:t>约1%</w:t>
            </w:r>
          </w:p>
        </w:tc>
        <w:tc>
          <w:tcPr>
            <w:tcW w:type="dxa" w:w="2412"/>
          </w:tcPr>
          <w:p>
            <w:r>
              <w:t>汽车、工业等嵌入式应用</w:t>
            </w:r>
          </w:p>
        </w:tc>
      </w:tr>
    </w:tbl>
    <w:p/>
    <w:p>
      <w:r>
        <w:t>全年DRAM收入1006.79亿美元，NAND收入317.85亿美元。这里的HBM已经包含在DRAM里，不能再加一次。</w:t>
      </w:r>
    </w:p>
    <w:p/>
    <w:p>
      <w:r>
        <w:t>按客户业务单元划分，同一季度云内存162.83亿美元、核心数据中心180.02亿美元、移动与客户端131.14亿美元、汽车与嵌入式68.24亿美元。前两项合计约63.2%；这不是“HBM占收入63%”。云内存还包含面向超大规模客户的其他DRAM；核心数据中心包括所有数据中心SSD及其他相关客户产品。</w:t>
      </w:r>
    </w:p>
    <w:p/>
    <w:p>
      <w:r>
        <w:t>第四季度DRAM位出货环比只增长中个位数，收入却增约27%；NAND位出货约增10%，收入增约42%。这表明本轮增长很大一部分来自价格，而不能全部解释成实际使用容量突然等比例增加。各项产品和分部口径有交叉，不能相加。</w:t>
      </w:r>
      <w:hyperlink r:id="rId13">
        <w:r>
          <w:rPr>
            <w:color w:val="0563C1"/>
            <w:u w:val="single"/>
          </w:rPr>
          <w:t>第四季度财务演示，第23—24、35—37页</w:t>
        </w:r>
      </w:hyperlink>
    </w:p>
    <w:p/>
    <w:p>
      <w:pPr>
        <w:pStyle w:val="Heading2"/>
      </w:pPr>
      <w:r>
        <w:t>4. 行业地位</w:t>
      </w:r>
    </w:p>
    <w:p/>
    <w:p>
      <w:r>
        <w:t>美光与三星、SK海力士构成全球先进DRAM供给的主要竞争阵营；NAND则还面对铠侠、SanDisk等厂商及中国供应商。它是美国存储产业的重要制造企业，但“美国身份”不能替代成本、性能或客户认证。</w:t>
      </w:r>
    </w:p>
    <w:p/>
    <w:p>
      <w:r>
        <w:t>行业集中度较高意味着资本纪律有可能比过去改善，却不保证大家永远不扩产。每个厂商都有争取下一代技术和大客户的动力，新增良率、节点升级和新工厂会在不同时间释放供给。</w:t>
      </w:r>
    </w:p>
    <w:p/>
    <w:p>
      <w:r>
        <w:t>截至本报告，可直接核实的优势是新节点、大容量模块、HBM与数据中心SSD的量产和客户进展；没有取得统一口径、最新自然季度的独立市场份额统计，因此不编造“最新份额X%”或笼统宣称每种产品都是第一。公司对技术领先、SSD份额连续提升的表述，应视为管理层陈述，而非替代第三方排名。</w:t>
      </w:r>
    </w:p>
    <w:p/>
    <w:p>
      <w:pPr>
        <w:pStyle w:val="Heading2"/>
      </w:pPr>
      <w:r>
        <w:t>5. 核心竞争力</w:t>
      </w:r>
    </w:p>
    <w:p/>
    <w:p>
      <w:r>
        <w:t>一是工艺与成本学习。芯片制造存在复利：每一代工艺、良率爬坡、缺陷控制和生产经验都会影响下一代。2026年9月公司表示1γ DRAM与第九代NAND已是各自最大量产节点，这是可追踪的制造事实。</w:t>
      </w:r>
    </w:p>
    <w:p/>
    <w:p>
      <w:r>
        <w:t>二是完整产品组合。美光可以同时参与HBM、服务器主内存、低功耗内存、企业SSD和车规存储。AI系统内部存在多层数据访问需求，客户不只购买最快的一层。</w:t>
      </w:r>
    </w:p>
    <w:p/>
    <w:p>
      <w:r>
        <w:t>三是客户共同设计。HBM和定制内存需要围绕平台热设计、接口、容量、能耗与封装合作。一旦通过认证，商业关系可能比普通现货交易牢固；这也要求下一代产品继续达标，不能把一次入选当成永久特许权。</w:t>
      </w:r>
    </w:p>
    <w:p/>
    <w:p>
      <w:r>
        <w:t>四是全球制造与美国扩张。地域多样性对客户供应安全有价值，但跨地区建设、补贴约束和不同成本结构也提高管理难度。</w:t>
      </w:r>
    </w:p>
    <w:p/>
    <w:p>
      <w:r>
        <w:t>五是现金和长约共同增强抗周期能力。它们可以帮助公司在困难时保住核心研发，但真正护城河是困难时仍能形成下一代合格产品，不是账上钱多这一条本身。</w:t>
      </w:r>
    </w:p>
    <w:p/>
    <w:p>
      <w:pPr>
        <w:pStyle w:val="Heading2"/>
      </w:pPr>
      <w:r>
        <w:t>6. 主要竞争对手</w:t>
      </w:r>
    </w:p>
    <w:p/>
    <w:p>
      <w:r>
        <w:t>三星：竞争覆盖DRAM、HBM、NAND与企业SSD，资金、制造规模和产品广度强。对美光的压力是高端产品认证改善后带来的供给、客户议价与份额竞争。</w:t>
      </w:r>
    </w:p>
    <w:p/>
    <w:p>
      <w:r>
        <w:t>SK海力士：HBM是最直接的竞争战场，其DRAM和Solidigm企业SSD也与美光重叠。比较时必须同时看客户平台、代际切换、合格产量与单位利润，而非只看发布会带宽。</w:t>
      </w:r>
    </w:p>
    <w:p/>
    <w:p>
      <w:r>
        <w:t>铠侠与SanDisk：两者制造合作紧密，是NAND供给的重要力量；SanDisk已独立于WDC，不能继续把Western Digital当作今天的完整闪存竞争主体。</w:t>
      </w:r>
    </w:p>
    <w:p/>
    <w:p>
      <w:r>
        <w:t>长鑫存储与长江存储：分别在DRAM、NAND形成追赶与供给变量。先进设备限制、产品认证和技术差距影响进度，但不能以今天的差距直接推断五年后毫无竞争。</w:t>
      </w:r>
    </w:p>
    <w:p/>
    <w:p>
      <w:r>
        <w:t>WDC、Seagate主要做机械硬盘，不是HBM竞争者。在数据中心容量层面，机械硬盘与SSD既共同受益于数据增长，也存在部分替代关系。“同属存储”不代表商业模式和每一季利润同步。</w:t>
      </w:r>
      <w:hyperlink r:id="rId12">
        <w:r>
          <w:rPr>
            <w:color w:val="0563C1"/>
            <w:u w:val="single"/>
          </w:rPr>
          <w:t>竞争主体披露</w:t>
        </w:r>
      </w:hyperlink>
    </w:p>
    <w:p/>
    <w:p>
      <w:pPr>
        <w:pStyle w:val="Heading2"/>
      </w:pPr>
      <w:r>
        <w:t>7. 未来12–24个月增长逻辑</w:t>
      </w:r>
    </w:p>
    <w:p/>
    <w:p>
      <w:r>
        <w:t>第一，常规DRAM供给紧张能否跨到2027年。管理层预计2027、2028自然年行业DRAM位出货增速约20%出头（low-20s），并认为供给仍受限。判断重点是新需求是否超过技术升级增加的供给，而不是只数公告里的新厂。</w:t>
      </w:r>
    </w:p>
    <w:p/>
    <w:p>
      <w:r>
        <w:t>第二，HBM从抢资格进入兑现合同。公司称2027自然年绝大部分HBM位供给已完成协议，价格同比显著提高；HBM4继续爬坡，并与NVIDIA合作定制HBM4E方案NVHBM。需要验证的是实际出货、良率和毛利贡献。</w:t>
      </w:r>
    </w:p>
    <w:p/>
    <w:p>
      <w:r>
        <w:t>第三，推理带动存储层级扩展。更长上下文、更高并发会增加工作内存与缓存压力；企业SSD可以承接部分数据和缓存，但不能把所有HBM需求都等量迁移到闪存。第四季度数据中心SSD接近100亿美元，已是可观察业务。</w:t>
      </w:r>
    </w:p>
    <w:p/>
    <w:p>
      <w:r>
        <w:t>第四，战略协议逐步覆盖更多收入。26份协议估计覆盖至2030年收入的35%以上，其中约四分之三对应收入有明确价格框架；其他部分仍需定期按市场议价。覆盖扩大与底价质量都比“协议数量又增加几份”重要。</w:t>
      </w:r>
    </w:p>
    <w:p/>
    <w:p>
      <w:r>
        <w:t>第五，产能有时间表。爱达荷第一座新厂预计2027年中开始晶圆产出；台湾铜锣设施预计同期形成有意义产品出货；新加坡HBM先进封装预计2027年初开始产出。初始产出后还需数季爬坡。纽约首厂预计2030年初始产出，不能记成未来一年收入。</w:t>
      </w:r>
      <w:hyperlink r:id="rId14">
        <w:r>
          <w:rPr>
            <w:color w:val="0563C1"/>
            <w:u w:val="single"/>
          </w:rPr>
          <w:t>管理层最新展望与项目节奏</w:t>
        </w:r>
      </w:hyperlink>
    </w:p>
    <w:p/>
    <w:p>
      <w:pPr>
        <w:pStyle w:val="Heading2"/>
      </w:pPr>
      <w:r>
        <w:t>8. 核心财务指标</w:t>
      </w:r>
    </w:p>
    <w:p/>
    <w:p>
      <w:r>
        <w:t>以下“公认会计准则”指美国通用会计口径，“调整后”指公司剔除特定项目的补充口径，两者不混用。</w:t>
      </w:r>
    </w:p>
    <w:p/>
    <w:p>
      <w:r>
        <w:t>2026财年第四季度：</w:t>
      </w:r>
    </w:p>
    <w:p>
      <w:pPr>
        <w:pStyle w:val="ListBullet"/>
      </w:pPr>
      <w:r>
        <w:t>营业收入：542.29亿美元</w:t>
      </w:r>
    </w:p>
    <w:p>
      <w:pPr>
        <w:pStyle w:val="ListBullet"/>
      </w:pPr>
      <w:r>
        <w:t>毛利率，公认会计准则：86.8%</w:t>
      </w:r>
    </w:p>
    <w:p>
      <w:pPr>
        <w:pStyle w:val="ListBullet"/>
      </w:pPr>
      <w:r>
        <w:t>营业利润／净利润，公认会计准则：437.51／377.01亿美元</w:t>
      </w:r>
    </w:p>
    <w:p>
      <w:pPr>
        <w:pStyle w:val="ListBullet"/>
      </w:pPr>
      <w:r>
        <w:t>稀释每股收益：公认会计准则32.87美元；调整后33.42美元</w:t>
      </w:r>
    </w:p>
    <w:p>
      <w:pPr>
        <w:pStyle w:val="ListBullet"/>
      </w:pPr>
      <w:r>
        <w:t>经营活动现金净流入：439.73亿美元</w:t>
      </w:r>
    </w:p>
    <w:p>
      <w:pPr>
        <w:pStyle w:val="ListBullet"/>
      </w:pPr>
      <w:r>
        <w:t>公司净资本开支／调整后自由现金流：107.74／331.99亿美元</w:t>
      </w:r>
    </w:p>
    <w:p/>
    <w:p>
      <w:r>
        <w:t>2026财年全年：</w:t>
      </w:r>
    </w:p>
    <w:p>
      <w:pPr>
        <w:pStyle w:val="ListBullet"/>
      </w:pPr>
      <w:r>
        <w:t>营业收入：1331.88亿美元</w:t>
      </w:r>
    </w:p>
    <w:p>
      <w:pPr>
        <w:pStyle w:val="ListBullet"/>
      </w:pPr>
      <w:r>
        <w:t>毛利率，公认会计准则：80.7%</w:t>
      </w:r>
    </w:p>
    <w:p>
      <w:pPr>
        <w:pStyle w:val="ListBullet"/>
      </w:pPr>
      <w:r>
        <w:t>营业利润／净利润，公认会计准则：993.40／849.69亿美元</w:t>
      </w:r>
    </w:p>
    <w:p>
      <w:pPr>
        <w:pStyle w:val="ListBullet"/>
      </w:pPr>
      <w:r>
        <w:t>稀释每股收益：公认会计准则74.33美元；调整后75.52美元</w:t>
      </w:r>
    </w:p>
    <w:p>
      <w:pPr>
        <w:pStyle w:val="ListBullet"/>
      </w:pPr>
      <w:r>
        <w:t>经营活动现金净流入：896.75亿美元</w:t>
      </w:r>
    </w:p>
    <w:p>
      <w:pPr>
        <w:pStyle w:val="ListBullet"/>
      </w:pPr>
      <w:r>
        <w:t>公司净资本开支／调整后自由现金流：273.67／623.08亿美元</w:t>
      </w:r>
    </w:p>
    <w:p/>
    <w:p>
      <w:r>
        <w:t>2025财年全年，作为比较：</w:t>
      </w:r>
    </w:p>
    <w:p>
      <w:pPr>
        <w:pStyle w:val="ListBullet"/>
      </w:pPr>
      <w:r>
        <w:t>营业收入：373.78亿美元；公认会计准则毛利率39.8%</w:t>
      </w:r>
    </w:p>
    <w:p>
      <w:pPr>
        <w:pStyle w:val="ListBullet"/>
      </w:pPr>
      <w:r>
        <w:t>公认会计准则营业利润／净利润：97.70／85.39亿美元</w:t>
      </w:r>
    </w:p>
    <w:p>
      <w:pPr>
        <w:pStyle w:val="ListBullet"/>
      </w:pPr>
      <w:r>
        <w:t>稀释每股收益：公认会计准则7.59美元；调整后8.29美元</w:t>
      </w:r>
    </w:p>
    <w:p>
      <w:pPr>
        <w:pStyle w:val="ListBullet"/>
      </w:pPr>
      <w:r>
        <w:t>经营活动现金净流入：175.25亿美元</w:t>
      </w:r>
    </w:p>
    <w:p>
      <w:pPr>
        <w:pStyle w:val="ListBullet"/>
      </w:pPr>
      <w:r>
        <w:t>公司净资本开支／调整后自由现金流：138.04／37.21亿美元</w:t>
      </w:r>
    </w:p>
    <w:p/>
    <w:p>
      <w:r>
        <w:t>全年收入同比增约256%，第四季度同比增约379%、环比增约31%。2026财年为53周、第四季度14周；上年分别52周和13周，额外一周也影响可比性。高增速还有低基数和价格因素，不能用同样比例无限外推，亦不在缺少拆分数据时臆算剔除额外周的增长。</w:t>
      </w:r>
    </w:p>
    <w:p/>
    <w:p>
      <w:r>
        <w:t>2026财年末，现金、可交易投资及受限现金734.80亿美元；账面债务51.79亿美元；公司披露净现金683.01亿美元。应收账款361.97亿美元，存货103.72亿美元。存货周转天数129天，环比升9天；公司解释包括旧节点提前备货和制造奖金进入存货，需验证后续是否如预期下降。</w:t>
      </w:r>
    </w:p>
    <w:p/>
    <w:p>
      <w:r>
        <w:t>最新2027财年第一季度指引：收入615±15亿美元；公认会计准则毛利率约85.95%、稀释每股收益37.84±1美元；调整后毛利率约86.25%、稀释每股收益38.15±1美元。这是管理层单季指引，不是研究员预测全年数字。</w:t>
      </w:r>
      <w:hyperlink r:id="rId15">
        <w:r>
          <w:rPr>
            <w:color w:val="0563C1"/>
            <w:u w:val="single"/>
          </w:rPr>
          <w:t>官方业绩公告及报表</w:t>
        </w:r>
      </w:hyperlink>
    </w:p>
    <w:p/>
    <w:p>
      <w:pPr>
        <w:pStyle w:val="Heading2"/>
      </w:pPr>
      <w:r>
        <w:t>9. 资本开支 / 自由现金流 / 投入资本回报率（CapEx / FCF / ROIC）</w:t>
      </w:r>
    </w:p>
    <w:p/>
    <w:p>
      <w:r>
        <w:t>资本开支必须先统一口径。2026财年实际购买厂房设备支出307.12亿美元，减政府补助33.16亿美元、出售设备等收入0.29亿美元，得到公司净资本开支273.67亿美元。</w:t>
      </w:r>
    </w:p>
    <w:p/>
    <w:p>
      <w:r>
        <w:t>因此，公司调整后自由现金流＝经营现金流896.75－净资本开支273.67＝623.08亿美元。若用更朴素的“经营现金流－购买厂房设备支出”，得到589.63亿美元。两者都可用，但不能在不同年份悄悄换口径；补贴是资金来源，不是没有发生资本消耗。</w:t>
      </w:r>
    </w:p>
    <w:p/>
    <w:p>
      <w:r>
        <w:t>客户押金要另算。2026财年全年收到客户合同押金融资流入127.47亿美元；第四季度收到约123亿美元；财年末SCA押金余额约127亿美元。三者分别是全年流量、单季流量和时点余额。它们列在融资现金流，未计入上述经营现金流和公司自由现金流；满足最低采购要求后，押金预计在合同后半段陆续返还。现金可以使用，不等于全部属于股东可永久分配的多余资金。</w:t>
      </w:r>
    </w:p>
    <w:p/>
    <w:p>
      <w:r>
        <w:t>2027财年前半年的净资本开支预计约250亿美元，后半年高于前半年，意味着全年将超过500亿美元，但公司没有在本次讲话给出完整年度精确预算。增量更多用于建设，较大部分洁净室空间要到2028年末以后发挥作用；建设支出不能直接等同当季设备订单，更不能等同当季新增合格晶圆。</w:t>
      </w:r>
    </w:p>
    <w:p/>
    <w:p>
      <w:r>
        <w:t>投入资本回报率（ROIC）采用税后营业利润除以平均投入资本。为显示口径敏感性，简化金融口径用“股东权益＋账面债务－现金及可交易投资”，2025、2026财年末分别约568.06、701.04亿美元；全年税后营业利润按实际税率14.81%估算约846.28亿美元，所得回报率约133%。若把期末约127亿美元可返还客户押金作为融资资金加回分母，两点平均口径降至约121%。</w:t>
      </w:r>
    </w:p>
    <w:p/>
    <w:p>
      <w:r>
        <w:t>这只是粗略测算，不是公司报告的标准指标：未精细处理经营性现金、租赁和补贴资本；采用期初期末平均也不能完全反映年中投入。高数值表达的是极端涨价期对既有资产的超额收益，绝不代表新厂项目年回报率能达到一倍以上。应结合更长周期，观察新厂成熟后的成本、利用率和累计现金回收。</w:t>
      </w:r>
      <w:hyperlink r:id="rId15">
        <w:r>
          <w:rPr>
            <w:color w:val="0563C1"/>
            <w:u w:val="single"/>
          </w:rPr>
          <w:t>现金流调节表</w:t>
        </w:r>
      </w:hyperlink>
    </w:p>
    <w:p/>
    <w:p>
      <w:pPr>
        <w:pStyle w:val="Heading2"/>
      </w:pPr>
      <w:r>
        <w:t>10. 估值框架</w:t>
      </w:r>
    </w:p>
    <w:p/>
    <w:p>
      <w:r>
        <w:t>优先用三把尺：跨周期盈利、自由现金流、资产扩张后的资本回报。营收倍数不能体现涨价与跌价时截然不同的利润率；单一低市盈率也常常出现在周期高点。</w:t>
      </w:r>
    </w:p>
    <w:p/>
    <w:p>
      <w:r>
        <w:t>以1097.39美元计算，2026财年公认会计准则市盈率约14.76倍，调整后约14.53倍。用第一季度调整后每股收益38.15美元乘四，得到年化152.60美元、市盈率约7.19倍；这只是静态运行速率，不是已赚到的全年利润，也没有纳入之后的价格和成本变化。</w:t>
      </w:r>
    </w:p>
    <w:p/>
    <w:p>
      <w:r>
        <w:t>以约1.239万亿美元市值计算，全年公司调整后自由现金流收益率约5.03%，扣除全部现金购置厂房设备后的较保守口径约4.76%。2027年资本开支猛增时，即使利润继续创纪录，现金转化仍需要单独建模。</w:t>
      </w:r>
    </w:p>
    <w:p/>
    <w:p>
      <w:r>
        <w:t>估值的关键不在争论7倍或15倍哪一个“正确”，而是2030年前收入里有多少可以由数量承诺和有约束的底价保护，剩余部分会如何定价。押金与RPO可以减少融资和需求不确定性，却不应在每股收益估值之外再重复加上一遍合同总额。</w:t>
      </w:r>
    </w:p>
    <w:p/>
    <w:p>
      <w:r>
        <w:t>如果采用股权市盈率，现金及其收益已经属于公司整体估值框架，不能再随意把全部净现金加到目标价制造双重计算；若单独估经营价值，必须相应剔除现金收益和押金返还义务。</w:t>
      </w:r>
    </w:p>
    <w:p/>
    <w:p>
      <w:pPr>
        <w:pStyle w:val="Heading2"/>
      </w:pPr>
      <w:r>
        <w:t>11. 牛 / 基准 / 熊三情景</w:t>
      </w:r>
    </w:p>
    <w:p/>
    <w:p>
      <w:r>
        <w:t>以下是研究者自设的2027财年简化敏感性分析，不是管理层年度指引，也不是市场一致预期。统一假设稀释股数11.6亿股、税率15.5%，忽略净利息等小项；利润计算为“收入×调整后毛利率－调整后营业费用”，再扣税。</w:t>
      </w:r>
    </w:p>
    <w:p/>
    <w:p>
      <w:r>
        <w:t>牛情景：收入3200亿美元，调整后毛利率88%，调整后营业费用110亿美元；模型每股收益约197美元。给10—12倍市盈率，对应1970—2364美元。</w:t>
      </w:r>
    </w:p>
    <w:p/>
    <w:p>
      <w:r>
        <w:t>基准情景：收入2750亿美元，调整后毛利率85.5%，调整后营业费用100亿美元；模型每股收益约164美元。给7—9倍市盈率，对应1148—1476美元。</w:t>
      </w:r>
    </w:p>
    <w:p/>
    <w:p>
      <w:r>
        <w:t>熊情景：收入1900亿美元，调整后毛利率65%，调整后营业费用100亿美元；模型每股收益约83美元。给6—8倍市盈率，对应约498—664美元。区间按取整后的每股收益计算，避免虚假的小数点精度。</w:t>
      </w:r>
    </w:p>
    <w:p/>
    <w:p>
      <w:r>
        <w:t>牛情景要求2027年持续供不应求，HBM和SSD进一步放量，价格框架巩固回报，且市场愿意给超额利润更长寿命。</w:t>
      </w:r>
    </w:p>
    <w:p/>
    <w:p>
      <w:r>
        <w:t>基准情景仍很强：第一季已指引615亿美元，全年2750亿美元意味着后续季度整体继续扩张。全年毛利率假设略低于第一季调整后指引，是研究上保留后续产品结构和供给变化的折扣，并没有照单全收管理层“第一季是全年毛利率低点”的判断。</w:t>
      </w:r>
    </w:p>
    <w:p/>
    <w:p>
      <w:r>
        <w:t>熊情景不是正常小失误，而是下半年价格与需求显著反转、长约保护不足以覆盖未签约销售，因而收入落到第一季运行速率以下。它展示了即使仍盈利，股价也可能大幅回撤。</w:t>
      </w:r>
    </w:p>
    <w:p/>
    <w:p>
      <w:r>
        <w:t>相对于1097.39美元，基准区间约高5%—35%，熊区间约低40%—55%，牛区间约高80%—115%。这些不是概率加权目标价。极端多头回报取决于持续性得到重新定价；模型最脆弱的输入是利润率，而不是小数点后的股数。</w:t>
      </w:r>
    </w:p>
    <w:p/>
    <w:p>
      <w:pPr>
        <w:pStyle w:val="Heading2"/>
      </w:pPr>
      <w:r>
        <w:t>12. 核心催化剂</w:t>
      </w:r>
    </w:p>
    <w:p/>
    <w:p>
      <w:r>
        <w:t>近端看下一季收入能否达到600—630亿美元、毛利率是否符合成本解释，以及第四季度积累的存货是否消化。不要只看每股收益“超过市场预期”，还要看超过的来源。</w:t>
      </w:r>
    </w:p>
    <w:p/>
    <w:p>
      <w:r>
        <w:t>中期看2027年HBM协议转出货、HBM4良率、定制HBM4E客户平台进度，以及数据中心SSD是否持续扩张。如果价格增速放缓，产品与数量就要接过增长接力棒。</w:t>
      </w:r>
    </w:p>
    <w:p/>
    <w:p>
      <w:r>
        <w:t>资本配置上，公司表示打算从2026年12月9日起提高资本回报，此日与美国芯片补助协议签署满两年有关。这是计划和条件下的权限变化，不是已宣布届时一次性回购某个金额；补贴协议仍有适用条件。</w:t>
      </w:r>
    </w:p>
    <w:p/>
    <w:p>
      <w:r>
        <w:t>再往后看爱达荷、台湾和新加坡项目准时产出并爬坡。市场往往在实际现金流前交易这些事件，因此“催化发生”与“还值得追加估值”不是同一件事。</w:t>
      </w:r>
      <w:hyperlink r:id="rId14">
        <w:r>
          <w:rPr>
            <w:color w:val="0563C1"/>
            <w:u w:val="single"/>
          </w:rPr>
          <w:t>最新管理层讲话</w:t>
        </w:r>
      </w:hyperlink>
    </w:p>
    <w:p/>
    <w:p>
      <w:pPr>
        <w:pStyle w:val="Heading2"/>
      </w:pPr>
      <w:r>
        <w:t>13. 最大风险</w:t>
      </w:r>
    </w:p>
    <w:p/>
    <w:p>
      <w:r>
        <w:t>第一是利润峰值误判。86%以上毛利率代表供给极紧与价格强势，不能不经验证就把它当永续正常值。存储行业可能在需求仍增长时，因为供给增长更快而降价。</w:t>
      </w:r>
    </w:p>
    <w:p/>
    <w:p>
      <w:r>
        <w:t>第二是客户过度建设和重复预订。大客户承诺多年数量降低风险，但无法保证最终AI项目都有足够终端收益，也不能保证客户从不争取改条款或调整产品组合。</w:t>
      </w:r>
    </w:p>
    <w:p/>
    <w:p>
      <w:r>
        <w:t>第三是扩产与技术同时执行。新厂建设、先进节点、复杂封装和客户认证都耗资源；任何一个环节延迟，可能让“账上资本开支”与“可盈利的出货”脱节。</w:t>
      </w:r>
    </w:p>
    <w:p/>
    <w:p>
      <w:r>
        <w:t>第四是竞争对手进步。竞争者在HBM或企业SSD追上来，未必立即造成美光收入下降，却可能先压低下一轮报价和市场愿意给的估值。</w:t>
      </w:r>
    </w:p>
    <w:p/>
    <w:p>
      <w:r>
        <w:t>第五是地缘与政策。中国采购限制、先进设备管制、关税、补贴附带要求和区域集中生产均可能改变成本或可服务市场。2023年中国关键基础设施相关采购限制的影响已被公司年报承认。</w:t>
      </w:r>
    </w:p>
    <w:p/>
    <w:p>
      <w:r>
        <w:t>第六是资金分配。过度回购高估股票、超预算扩产或忽视客户押金返还义务，都会把一轮好生意变成较差的股东回报。</w:t>
      </w:r>
    </w:p>
    <w:p/>
    <w:p>
      <w:pPr>
        <w:pStyle w:val="Heading2"/>
      </w:pPr>
      <w:r>
        <w:t>14. 当前市场争议</w:t>
      </w:r>
    </w:p>
    <w:p/>
    <w:p>
      <w:r>
        <w:t>牛方认为，AI使内存成为性能约束，HBM与先进封装占用制造资源，新增厂房又需要多年；供给紧张因此可能比传统PC周期更持久。多年采购承诺和底价意味着未来低谷不必回到过去的亏损模式。</w:t>
      </w:r>
    </w:p>
    <w:p/>
    <w:p>
      <w:r>
        <w:t>熊方认为，今天的收入增量里价格贡献太大，而供给投入正在被高利润刺激。PC与手机整体出货甚至可能双位数下降，显示价格上涨已经挤压下游承受能力。长约并未覆盖全部收入，价格框架里也可能有上限，不能只强调保护下行的一半。</w:t>
      </w:r>
    </w:p>
    <w:p/>
    <w:p>
      <w:r>
        <w:t>另一个争议是HBM。传统叙事把HBM视作“越多越赚钱”，但当前常规DRAM涨价太强，HBM占比提高反而可能压低某一分部的综合毛利率。重要的是单位受限晶圆、封装和资本究竟创造多少利润，而不是产品名称是否高端。</w:t>
      </w:r>
    </w:p>
    <w:p/>
    <w:p>
      <w:r>
        <w:t>真正的分歧：美光下一轮低谷，是仍能实现可观自由现金流的高质量制造公司，还是再次被新增供给压缩利润的周期生产商。只争论下一季度利润够不够亮眼，触及不到这个问题。</w:t>
      </w:r>
    </w:p>
    <w:p/>
    <w:p>
      <w:pPr>
        <w:pStyle w:val="Heading2"/>
      </w:pPr>
      <w:r>
        <w:t>15. 股性特征</w:t>
      </w:r>
    </w:p>
    <w:p/>
    <w:p>
      <w:r>
        <w:t>MU会提前交易价格和盈利拐点，常在报表最差时反弹，也可能在净利润最好时因增长放缓而回撤。交易者面对的不是单纯“当季利润越高、股价越高”的线性关系。</w:t>
      </w:r>
    </w:p>
    <w:p/>
    <w:p>
      <w:r>
        <w:t>截至10月1日，最近252个交易日的日收益率年化样本波动率约81.4%，计算方式为日简单收益率标准差乘以252的平方根。这是历史统计，既不是未来波动预测，也不意味着每年一定涨跌81%。</w:t>
      </w:r>
    </w:p>
    <w:p/>
    <w:p>
      <w:r>
        <w:t>10月1日盘中1022.90—1098.90美元，日内振幅约为前收盘的7.1%；收盘上涨3.03%，但并非一路单向上涨。财报后的预期差、利率和板块交易可以在同一天产生明显分歧。</w:t>
      </w:r>
    </w:p>
    <w:p/>
    <w:p>
      <w:r>
        <w:t>对投资流程的含义：研究逻辑与交易成本要分开。判断公司好，并不意味着可以承受任何买入价格或任何回撤；仓位大小比猜测精确顶底更容易控制。</w:t>
      </w:r>
    </w:p>
    <w:p/>
    <w:p>
      <w:pPr>
        <w:pStyle w:val="Heading2"/>
      </w:pPr>
      <w:r>
        <w:t>16. 与板块相关性</w:t>
      </w:r>
    </w:p>
    <w:p/>
    <w:p>
      <w:r>
        <w:t>使用Longbridge前复权常规交易日收盘，按共同交易日对齐，计算日简单收益率的皮尔逊相关系数；样本均截至2026年10月1日。没有使用价格水平相关性。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比较标的</w:t>
            </w:r>
          </w:p>
        </w:tc>
        <w:tc>
          <w:tcPr>
            <w:tcW w:type="dxa" w:w="3216"/>
          </w:tcPr>
          <w:p>
            <w:r>
              <w:t>最近60个共同日收益率</w:t>
            </w:r>
          </w:p>
        </w:tc>
        <w:tc>
          <w:tcPr>
            <w:tcW w:type="dxa" w:w="3216"/>
          </w:tcPr>
          <w:p>
            <w:r>
              <w:t>最近252个共同日收益率</w:t>
            </w:r>
          </w:p>
        </w:tc>
      </w:tr>
      <w:tr>
        <w:tc>
          <w:tcPr>
            <w:tcW w:type="dxa" w:w="3216"/>
          </w:tcPr>
          <w:p>
            <w:r>
              <w:t>半导体ETF SOXX</w:t>
            </w:r>
          </w:p>
        </w:tc>
        <w:tc>
          <w:tcPr>
            <w:tcW w:type="dxa" w:w="3216"/>
          </w:tcPr>
          <w:p>
            <w:r>
              <w:t>0.87</w:t>
            </w:r>
          </w:p>
        </w:tc>
        <w:tc>
          <w:tcPr>
            <w:tcW w:type="dxa" w:w="3216"/>
          </w:tcPr>
          <w:p>
            <w:r>
              <w:t>0.82</w:t>
            </w:r>
          </w:p>
        </w:tc>
      </w:tr>
      <w:tr>
        <w:tc>
          <w:tcPr>
            <w:tcW w:type="dxa" w:w="3216"/>
          </w:tcPr>
          <w:p>
            <w:r>
              <w:t>纳斯达克100ETF QQQ</w:t>
            </w:r>
          </w:p>
        </w:tc>
        <w:tc>
          <w:tcPr>
            <w:tcW w:type="dxa" w:w="3216"/>
          </w:tcPr>
          <w:p>
            <w:r>
              <w:t>0.70</w:t>
            </w:r>
          </w:p>
        </w:tc>
        <w:tc>
          <w:tcPr>
            <w:tcW w:type="dxa" w:w="3216"/>
          </w:tcPr>
          <w:p>
            <w:r>
              <w:t>0.69</w:t>
            </w:r>
          </w:p>
        </w:tc>
      </w:tr>
      <w:tr>
        <w:tc>
          <w:tcPr>
            <w:tcW w:type="dxa" w:w="3216"/>
          </w:tcPr>
          <w:p>
            <w:r>
              <w:t>SanDisk SNDK</w:t>
            </w:r>
          </w:p>
        </w:tc>
        <w:tc>
          <w:tcPr>
            <w:tcW w:type="dxa" w:w="3216"/>
          </w:tcPr>
          <w:p>
            <w:r>
              <w:t>0.89</w:t>
            </w:r>
          </w:p>
        </w:tc>
        <w:tc>
          <w:tcPr>
            <w:tcW w:type="dxa" w:w="3216"/>
          </w:tcPr>
          <w:p>
            <w:r>
              <w:t>0.78</w:t>
            </w:r>
          </w:p>
        </w:tc>
      </w:tr>
      <w:tr>
        <w:tc>
          <w:tcPr>
            <w:tcW w:type="dxa" w:w="3216"/>
          </w:tcPr>
          <w:p>
            <w:r>
              <w:t>Western Digital WDC</w:t>
            </w:r>
          </w:p>
        </w:tc>
        <w:tc>
          <w:tcPr>
            <w:tcW w:type="dxa" w:w="3216"/>
          </w:tcPr>
          <w:p>
            <w:r>
              <w:t>0.76</w:t>
            </w:r>
          </w:p>
        </w:tc>
        <w:tc>
          <w:tcPr>
            <w:tcW w:type="dxa" w:w="3216"/>
          </w:tcPr>
          <w:p>
            <w:r>
              <w:t>0.71</w:t>
            </w:r>
          </w:p>
        </w:tc>
      </w:tr>
    </w:tbl>
    <w:p/>
    <w:p>
      <w:r>
        <w:t>这一阶段MU与半导体、存储股高度同向，SNDK近60日尤其明显。它不代表DRAM与NAND利润结构相同，更不能说明买MU、SNDK、WDC就实现充分分散。</w:t>
      </w:r>
    </w:p>
    <w:p/>
    <w:p>
      <w:r>
        <w:t>最近252日相对SOXX的样本回归贝塔约1.44，即这段历史里MU对半导体板块波动的敏感度高于一倍。相关性与贝塔不同：前者描述同向程度，后者还包含波动幅度。窗口会随行业状态改变，财报日和极端行情也会影响估计。</w:t>
      </w:r>
    </w:p>
    <w:p/>
    <w:p>
      <w:pPr>
        <w:pStyle w:val="Heading2"/>
      </w:pPr>
      <w:r>
        <w:t>17. 宏观敏感因素</w:t>
      </w:r>
    </w:p>
    <w:p/>
    <w:p>
      <w:r>
        <w:t>利率通过两条路径影响MU：一条是长周期利润的折现率，另一条是客户建设数据中心的融资条件。美光自身现金多，不代表其客户或估值不受利率影响。</w:t>
      </w:r>
    </w:p>
    <w:p/>
    <w:p>
      <w:r>
        <w:t>经济与终端需求也要分开看。AI服务器可以强劲，同时手机、PC与部分工业客户疲弱；高存储价格还可能挤压整机利润，让客户减少容量配置、延后产品或寻找替代。</w:t>
      </w:r>
    </w:p>
    <w:p/>
    <w:p>
      <w:r>
        <w:t>汇率影响以美元销售、跨地区生产的成本和报表，能源、建设人员和设备交付则影响扩产预算。晶圆厂需要长期稳定的电、水和供应链，短期宏观好转不能自动缩短这些工程约束。</w:t>
      </w:r>
    </w:p>
    <w:p/>
    <w:p>
      <w:r>
        <w:t>出口管制和补贴改变厂房所在地、可销售产品和资本回报。政策受益与政策约束应当一起估值：补贴降低现金投入，但可能附带生产、就业、回购或收益分享要求。</w:t>
      </w:r>
    </w:p>
    <w:p/>
    <w:p>
      <w:pPr>
        <w:pStyle w:val="Heading2"/>
      </w:pPr>
      <w:r>
        <w:t>18. 历史典型走势</w:t>
      </w:r>
    </w:p>
    <w:p/>
    <w:p>
      <w:r>
        <w:t>2023年：财务仍深陷低谷，全年收入155.40亿美元、毛利为负；股价前复权收盘却从2022年底49.235美元升至2023年底84.649美元，约涨72%。典型含义是股票会预先交易减产和复苏，而不是等盈利确认。</w:t>
      </w:r>
    </w:p>
    <w:p/>
    <w:p>
      <w:r>
        <w:t>2024年：HBM3E量产和AI叙事推动行情，上半年强势后，6月18日前复权收盘152.361美元至年底83.840美元回撤约45.0%。这说明进入大客户平台并不能消除预期过热。</w:t>
      </w:r>
    </w:p>
    <w:p/>
    <w:p>
      <w:r>
        <w:t>2025年：1月21日108.964美元至4月4日64.558美元，收盘回撤约40.8%；随后年末收至285.239美元。负面宏观预期与存储新周期叠加，股价对两边的变化都有很大弹性。</w:t>
      </w:r>
    </w:p>
    <w:p/>
    <w:p>
      <w:r>
        <w:t>2026年：6月25日前复权收盘1213.317美元至7月29日739美元，回撤约39.1%；到10月1日又回到1097.39美元，距该收盘峰值仍低约9.6%。即使全年基本面高速增长，中途深度回撤也真实发生。</w:t>
      </w:r>
    </w:p>
    <w:p/>
    <w:p>
      <w:r>
        <w:t>上述是统一前复权收盘口径，回撤用明确起止日，不把盘中高低点与收盘混算；事件只是理解背景，不能仅凭同期发生就认定单一因果。</w:t>
      </w:r>
      <w:hyperlink r:id="rId12">
        <w:r>
          <w:rPr>
            <w:color w:val="0563C1"/>
            <w:u w:val="single"/>
          </w:rPr>
          <w:t>历史财务背景</w:t>
        </w:r>
      </w:hyperlink>
    </w:p>
    <w:p/>
    <w:p>
      <w:pPr>
        <w:pStyle w:val="Heading2"/>
      </w:pPr>
      <w:r>
        <w:t>19. 当前技术结构</w:t>
      </w:r>
    </w:p>
    <w:p/>
    <w:p>
      <w:r>
        <w:t>数据：1000根真实前复权日线，覆盖2022年10月6日至2026年10月1日；常规交易时段，不包含夜盘。以下全部由同一组数据计算。</w:t>
      </w:r>
    </w:p>
    <w:p/>
    <w:p>
      <w:r>
        <w:t>收盘1097.39美元，高于20日均线1019.17、50日954.35、200日677.29美元，短中长期均线呈多头顺序。14日相对强弱指标约63.5，偏强但不能据此认定不会回撤；12/26/9参数的指数平滑异同移动平均线快慢差为36.02、信号线30.22，动能为正。</w:t>
      </w:r>
    </w:p>
    <w:p/>
    <w:p>
      <w:r>
        <w:t>上方第一观察区是1105—1109美元，来自9月23—25日高点；要看有效突破后是否能守住，而不是盘中碰一下。更上方是6月25日约1254.75美元的前复权盘中高点，它与前文1213.32美元收盘峰值不是同一口径。</w:t>
      </w:r>
    </w:p>
    <w:p/>
    <w:p>
      <w:r>
        <w:t>下方第一观察区1020—1032美元，包含10月1日低点1022.90、近期交易低点与20日均线附近；第二层约950—960美元，对应50日均线与前期整理；再下方约903—927美元来自9月中旬回落区。</w:t>
      </w:r>
    </w:p>
    <w:p/>
    <w:p>
      <w:r>
        <w:t>10月1日成交4574万股，是此前20个交易日均量约1.83倍，放量收在日内高位附近，说明低开后的承接较强。但14日平均真实波幅约47.29美元，相当于当前价格4.3%；非常窄的价格边界容易被普通波动穿过。</w:t>
      </w:r>
    </w:p>
    <w:p/>
    <w:p>
      <w:r>
        <w:t>我的技术定性：中期修复向上、逼近短期阻力，尚不能等同已收复年中高点。若站稳1109上方且相对SOXX继续走强，修复可信度增加；若失守1020后反抽失败，则先检验950附近。技术位只描述供需行为，不证明长约或新厂回报。</w:t>
      </w:r>
    </w:p>
    <w:p/>
    <w:p>
      <w:pPr>
        <w:pStyle w:val="Heading2"/>
      </w:pPr>
      <w:r>
        <w:t>20. Thesis验证清单</w:t>
      </w:r>
    </w:p>
    <w:p/>
    <w:p>
      <w:r>
        <w:t>每季依次检查七件事：</w:t>
      </w:r>
    </w:p>
    <w:p/>
    <w:p>
      <w:pPr>
        <w:pStyle w:val="ListBullet"/>
      </w:pPr>
      <w:r>
        <w:t>价格与数量：DRAM、NAND均价增速放缓时，位出货和产品组合能否维持收入与现金增长</w:t>
      </w:r>
    </w:p>
    <w:p>
      <w:pPr>
        <w:pStyle w:val="ListBullet"/>
      </w:pPr>
      <w:r>
        <w:t>HBM兑现：2027年已签供应能否按节点转成合格出货，HBM毛利率差距是否缩小</w:t>
      </w:r>
    </w:p>
    <w:p>
      <w:pPr>
        <w:pStyle w:val="ListBullet"/>
      </w:pPr>
      <w:r>
        <w:t>长约质量：SCA覆盖、数量、价格下限与上限、期限、违约和返还安排是否更透明；RPO增长是否来自真正新增业务</w:t>
      </w:r>
    </w:p>
    <w:p>
      <w:pPr>
        <w:pStyle w:val="ListBullet"/>
      </w:pPr>
      <w:r>
        <w:t>现金质量：自由现金流与利润是否匹配，应收增长能否回收，存货129天是否逐步降低</w:t>
      </w:r>
    </w:p>
    <w:p>
      <w:pPr>
        <w:pStyle w:val="ListBullet"/>
      </w:pPr>
      <w:r>
        <w:t>投资效率：建设与设备开支分别多少，新厂是否按期，但不过早塞满设备造成过剩</w:t>
      </w:r>
    </w:p>
    <w:p>
      <w:pPr>
        <w:pStyle w:val="ListBullet"/>
      </w:pPr>
      <w:r>
        <w:t>竞争位置：新一代产品认证和客户份额是否稳定，不能只看公司自身收入创新高</w:t>
      </w:r>
    </w:p>
    <w:p>
      <w:pPr>
        <w:pStyle w:val="ListBullet"/>
      </w:pPr>
      <w:r>
        <w:t>股东回报：回购、股息和现金储备是否兼顾客户押金、补贴条件、下行缓冲和在建项目</w:t>
      </w:r>
    </w:p>
    <w:p/>
    <w:p>
      <w:r>
        <w:t>验证的优先级是“事实能不能回答投资问题”，不是收集最多利好。尤其要区分：库存因制程转换短暂上升，与产品卖不掉造成库存堆积，是性质完全不同的信号。</w:t>
      </w:r>
    </w:p>
    <w:p/>
    <w:p>
      <w:pPr>
        <w:pStyle w:val="Heading2"/>
      </w:pPr>
      <w:r>
        <w:t>21. 哪些情况意味着逻辑证伪</w:t>
      </w:r>
    </w:p>
    <w:p/>
    <w:p>
      <w:r>
        <w:t>以下若持续出现，会削弱“高盈利更持久”的核心命题，而不只是短期估值波动：</w:t>
      </w:r>
    </w:p>
    <w:p/>
    <w:p>
      <w:r>
        <w:t>一，连续数季供给追上需求，常规DRAM和NAND价格下滑，同时位出货不足以补偿，说明稀缺性退潮超出原先假设。</w:t>
      </w:r>
    </w:p>
    <w:p/>
    <w:p>
      <w:r>
        <w:t>二，HBM关键平台延迟、良率不达标或主要客户转向竞争者，且下一代产品无法修复。这直接损害差异化而不只是周期噪音。</w:t>
      </w:r>
    </w:p>
    <w:p/>
    <w:p>
      <w:r>
        <w:t>三，战略协议大量调整、最低价格并不能支撑合理回报，或履约与客户信用产生实质问题。合同数量多不再能支持“低谷改善”的推论。</w:t>
      </w:r>
    </w:p>
    <w:p/>
    <w:p>
      <w:r>
        <w:t>四，资本开支持续超预算，成熟产能利用率下降，补贴后自由现金流仍恶化；新增资产未创造相称利润，而不是暂时施工付款时间不同。</w:t>
      </w:r>
    </w:p>
    <w:p/>
    <w:p>
      <w:r>
        <w:t>五，存货、应收和客户争议同步恶化，管理层对现金质量的解释无法被后续数据验证。</w:t>
      </w:r>
    </w:p>
    <w:p/>
    <w:p>
      <w:r>
        <w:t>相反，一次毛利率因制造奖金下降、单季股价回撤、没有立即回购，不能单独判定证伪。需要比较原因、持续时间和与原假设的冲突程度。</w:t>
      </w:r>
    </w:p>
    <w:p/>
    <w:p>
      <w:pPr>
        <w:pStyle w:val="Heading2"/>
      </w:pPr>
      <w:r>
        <w:t>22. 最新动态</w:t>
      </w:r>
    </w:p>
    <w:p/>
    <w:p>
      <w:r>
        <w:t>9月30日业绩已经发布，不能再把“等待第四季度财报”列作未来催化。公司第四季度收入542.29亿美元，超过上一季给出的500±10亿美元指引区间；调整后每股收益33.42美元，也高于31±1美元指引区间。这里比较的是公司原指引，未混称为市场一致预期。</w:t>
      </w:r>
    </w:p>
    <w:p/>
    <w:p>
      <w:r>
        <w:t>管理层预计2027财年收入逐季增长，并认为第一季度是全年毛利率低点。第一季度毛利率指引较第四季度低，解释包括制造奖金先进入库存、随后在销售中结转；同时指出后续价格涨幅将更温和。这些说法必须由未来季度验证。</w:t>
      </w:r>
    </w:p>
    <w:p/>
    <w:p>
      <w:r>
        <w:t>合同端：26份SCA，部分延长至2031年；客户财务承诺320亿美元，绝大部分为现金押金；约1500亿美元RPO只包括具有明确价格框架协议的最低合同金额，尚未等于可立即确认的收入或利润。</w:t>
      </w:r>
    </w:p>
    <w:p/>
    <w:p>
      <w:r>
        <w:t>产品端：512GB服务器内存模块开始送样，服务器低功耗模块SOCAMM收入环比超过翻倍；PCIe第五、六代SSD面向缓存应用出货。经营组织上，Manish Bhatia与Scott DeBoer分别承担更广的运营、技术与产品职责。产品发布、设计入选与量产收入仍须分层记录。</w:t>
      </w:r>
    </w:p>
    <w:p/>
    <w:p>
      <w:r>
        <w:t>10月1日股价收涨3.03%，并非所有时段都下跌；不能用盘后瞬时价格写成全天市场判决。</w:t>
      </w:r>
      <w:hyperlink r:id="rId15">
        <w:r>
          <w:rPr>
            <w:color w:val="0563C1"/>
            <w:u w:val="single"/>
          </w:rPr>
          <w:t>9月30日完整公告</w:t>
        </w:r>
      </w:hyperlink>
      <w:r>
        <w:t>、</w:t>
      </w:r>
      <w:hyperlink r:id="rId16">
        <w:r>
          <w:rPr>
            <w:color w:val="0563C1"/>
            <w:u w:val="single"/>
          </w:rPr>
          <w:t>公司最新季度材料</w:t>
        </w:r>
      </w:hyperlink>
    </w:p>
    <w:p/>
    <w:p>
      <w:pPr>
        <w:pStyle w:val="Heading2"/>
      </w:pPr>
      <w:r>
        <w:t>我目前对美光的理解</w:t>
      </w:r>
    </w:p>
    <w:p/>
    <w:p>
      <w:r>
        <w:t>美光已经充分证明：AI时代需要更多、更快、更复杂的存储，它有能力把这个机会转化为巨额利润和现金。</w:t>
      </w:r>
    </w:p>
    <w:p/>
    <w:p>
      <w:r>
        <w:t>尚未证明的是：当高利润吸引的新供给真正投产，当客户不再愿意接受每次提价，今天的技术、长约和资本纪律能否把下一轮低谷抬高。</w:t>
      </w:r>
    </w:p>
    <w:p/>
    <w:p>
      <w:r>
        <w:t>因此，我会把它看作“正在争取更高盈利下限的强周期制造商”。需要跟踪的是穿越周期之后还能留住多少每股现金，而不是仅凭下一季七倍左右的年化市盈率，就认定周期已经被消灭。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MU Company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ongbridge.com/quote/MU.US" TargetMode="External"/><Relationship Id="rId11" Type="http://schemas.openxmlformats.org/officeDocument/2006/relationships/hyperlink" Target="https://micron.gcs-web.com/news-releases/news-release-details/micron-announces-exit-crucial-consumer-business" TargetMode="External"/><Relationship Id="rId12" Type="http://schemas.openxmlformats.org/officeDocument/2006/relationships/hyperlink" Target="https://s25.q4cdn.com/621799436/files/doc_financials/2025/ar/2025-Form-10-K.pdf" TargetMode="External"/><Relationship Id="rId13" Type="http://schemas.openxmlformats.org/officeDocument/2006/relationships/hyperlink" Target="https://investors.micron.com/files/doc_financials/2026/q4/Q4-26-Earnings-Deck.pdf" TargetMode="External"/><Relationship Id="rId14" Type="http://schemas.openxmlformats.org/officeDocument/2006/relationships/hyperlink" Target="https://s25.q4cdn.com/621799436/files/doc_financials/2026/q4/Q4-FY26-Prepared-Remarks.pdf" TargetMode="External"/><Relationship Id="rId15" Type="http://schemas.openxmlformats.org/officeDocument/2006/relationships/hyperlink" Target="https://www.sec.gov/Archives/edgar/data/723125/000072312526000018/a2026q4ex991-pressrelease.htm" TargetMode="External"/><Relationship Id="rId16" Type="http://schemas.openxmlformats.org/officeDocument/2006/relationships/hyperlink" Target="https://investors.micron.com/overview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