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left"/>
      </w:pPr>
      <w:r>
        <w:rPr>
          <w:rFonts w:ascii="Noto Sans CJK SC" w:hAnsi="Noto Sans CJK SC" w:eastAsia="Noto Sans CJK SC"/>
          <w:b/>
          <w:color w:val="1769AA"/>
          <w:sz w:val="76"/>
        </w:rPr>
        <w:t>NBIS</w:t>
      </w:r>
    </w:p>
    <w:p>
      <w:pPr>
        <w:spacing w:after="240"/>
      </w:pPr>
      <w:r>
        <w:rPr>
          <w:b/>
          <w:color w:val="0B1F33"/>
          <w:sz w:val="50"/>
        </w:rPr>
        <w:t>Nebius Group 个股档案</w:t>
      </w:r>
    </w:p>
    <w:p>
      <w:r>
        <w:rPr>
          <w:color w:val="66717E"/>
          <w:sz w:val="26"/>
        </w:rPr>
        <w:t>AI Neocloud · 算力基础设施 · 高资本强度成长股</w:t>
      </w:r>
    </w:p>
    <w:p>
      <w:pPr>
        <w:spacing w:after="100"/>
        <w:pBdr>
          <w:bottom w:val="single" w:sz="20" w:space="1" w:color="1769A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$243.48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9/24收盘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当日 +7.44%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$66.7B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市值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约合 667 亿美元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+190.9%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2026 YTD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高Beta主升结构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$582.3M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Q2收入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YoY +454%</w:t>
            </w:r>
          </w:p>
        </w:tc>
      </w:tr>
    </w:tbl>
    <w:p>
      <w:pPr>
        <w:spacing w:after="0"/>
      </w:pP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核心结论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NBIS 已经从“GPU 云概念股”跨过需求验证阶段，进入“订单和盈利模型初步验证，但资本开支、融资结构与估值要求极高”的第二阶段。当前真正需要回答的问题，不再是 AI 云有没有需求，而是 2027 年产能兑现速度、$/MW 定价与每股价值增长能否跟上约 $67B 的估值。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color w:val="66717E"/>
          <w:sz w:val="20"/>
        </w:rPr>
        <w:t>研究日期  2026年9月25日</w:t>
      </w:r>
    </w:p>
    <w:p>
      <w:r>
        <w:rPr>
          <w:color w:val="66717E"/>
          <w:sz w:val="18"/>
        </w:rPr>
        <w:t>数据来源  公司公告 / SEC文件 / 财报电话会 / Longbridge市场数据 / 公开报道</w:t>
      </w: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核心摘要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一句话看懂：Nebius 是 AI-native neocloud，自己组织数据中心、电力、GPU、网络、存储、调度与推理软件，把底层算力加工成可直接服务 AI Labs 与企业客户的完整 AI Cloud。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当前投资阶段：需求验证已经完成大半，盈利能力也出现实质证据；但自由现金流仍为负，2026 年 CapEx 计划高达 $20–25B，资本结构持续通过预付款、债务、可转债与股权融资扩张。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估值判断：按 2026 年收入指引计算约 20–22× Sales，极贵；按 2026 年末 $7–9B ARR 指引则约 7.4–9.5× Exit ARR。市场实际上已经在提前交易 2027 年规模化收入。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交易特征：高 Beta、高空头、高事件驱动。20–30% 回撤可以发生在基本面未破坏的情况下；相反，重大订单、融资或 GPU 定价消息也容易触发 gap + short covering。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当前最重要的变量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1）800MW–1GW connected capacity 是否按期上线；2）年末 ARR 是否达到 $7–9B；3）$/MW 与 AI Cloud EBITDA margin 能否维持；4）稀释速度是否低于每股收入/ARR增速。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48000" cy="3127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2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66717E"/>
          <w:sz w:val="15"/>
        </w:rPr>
        <w:t>资料来源：Nebius季度财报；26Q3E、26Q4E、27Q1E为市场一致预期（Longbridge）。</w:t>
      </w: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公司与商业模式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1. </w:t>
      </w:r>
      <w:r>
        <w:rPr>
          <w:rFonts w:ascii="Noto Sans CJK SC" w:hAnsi="Noto Sans CJK SC" w:eastAsia="Noto Sans CJK SC"/>
          <w:b/>
          <w:color w:val="1D2733"/>
          <w:sz w:val="25"/>
        </w:rPr>
        <w:t>一句话看懂公司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Nebius Group 是一家以 AI 基础设施为核心的科技集团。其主业务 Nebius AI Cloud 面向美国、欧洲与全球 AI 客户提供大规模 GPU 集群、云平台、网络/存储、Kubernetes、推理与开发者工具。集团还拥有 Avride、TripleTen 等资产，但当前估值核心几乎完全是 Nebius AI Cloud。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2. </w:t>
      </w:r>
      <w:r>
        <w:rPr>
          <w:rFonts w:ascii="Noto Sans CJK SC" w:hAnsi="Noto Sans CJK SC" w:eastAsia="Noto Sans CJK SC"/>
          <w:b/>
          <w:color w:val="1D2733"/>
          <w:sz w:val="25"/>
        </w:rPr>
        <w:t>商业模式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NBIS 的商业模式已经不只是“买 GPU 再出租”。它正在形成三层合同结构：长期 investment-grade 大客户合同用于锁定现金流与融资，中期 1–3 年 AI Cloud 合同贡献主要利润，短期稀缺容量则通过更高 $/MW 定价捕捉供给紧张时期的超额收益。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长期大客户：Microsoft / Meta 等 5 年级别合同，核心价值是可融资性与需求确定性。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中期 AI Cloud：AI Labs、AI-native 企业、量化机构等，典型 ACV 约 $20–25M/MW。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短期稀缺容量：训练、post-training、产品发布等突发需求，部分订单可达到 $40–50M/MW。</w:t>
      </w:r>
    </w:p>
    <w:p>
      <w:r>
        <w:drawing>
          <wp:inline xmlns:a="http://schemas.openxmlformats.org/drawingml/2006/main" xmlns:pic="http://schemas.openxmlformats.org/drawingml/2006/picture">
            <wp:extent cx="6048000" cy="3387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8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66717E"/>
          <w:sz w:val="15"/>
        </w:rPr>
        <w:t>资料来源：Nebius Q2 2026财报与电话会；Meta长期合同公告。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3. </w:t>
      </w:r>
      <w:r>
        <w:rPr>
          <w:rFonts w:ascii="Noto Sans CJK SC" w:hAnsi="Noto Sans CJK SC" w:eastAsia="Noto Sans CJK SC"/>
          <w:b/>
          <w:color w:val="1D2733"/>
          <w:sz w:val="25"/>
        </w:rPr>
        <w:t>收入结构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835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154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Q2 2026</w:t>
            </w:r>
          </w:p>
        </w:tc>
        <w:tc>
          <w:tcPr>
            <w:tcW w:type="dxa" w:w="396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解读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集团收入</w:t>
            </w:r>
          </w:p>
        </w:tc>
        <w:tc>
          <w:tcPr>
            <w:tcW w:type="dxa" w:w="215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$582.3M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规模化阶段已经开始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Nebius AI Cloud</w:t>
            </w:r>
          </w:p>
        </w:tc>
        <w:tc>
          <w:tcPr>
            <w:tcW w:type="dxa" w:w="215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$574.9M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约占集团收入98%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AI Cloud ARR</w:t>
            </w:r>
          </w:p>
        </w:tc>
        <w:tc>
          <w:tcPr>
            <w:tcW w:type="dxa" w:w="215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$3.0B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未来收入基数远高于当期确认收入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AI Cloud Adj. EBITDA</w:t>
            </w:r>
          </w:p>
        </w:tc>
        <w:tc>
          <w:tcPr>
            <w:tcW w:type="dxa" w:w="215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$285.7M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盈利模型已出现实证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AI Cloud Adj. EBITDA Margin</w:t>
            </w:r>
          </w:p>
        </w:tc>
        <w:tc>
          <w:tcPr>
            <w:tcW w:type="dxa" w:w="215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约49.7%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7"/>
              </w:rPr>
              <w:t>供给紧张期的高毛利/高利用率特征</w:t>
            </w:r>
          </w:p>
        </w:tc>
      </w:tr>
    </w:tbl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因此，Nebius 已经不应该继续被理解为“Yandex 剥离后的科技控股公司”，而应基本视为一家 AI infrastructure / AI cloud pure play，外加若干非核心期权资产。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4. </w:t>
      </w:r>
      <w:r>
        <w:rPr>
          <w:rFonts w:ascii="Noto Sans CJK SC" w:hAnsi="Noto Sans CJK SC" w:eastAsia="Noto Sans CJK SC"/>
          <w:b/>
          <w:color w:val="1D2733"/>
          <w:sz w:val="25"/>
        </w:rPr>
        <w:t>行业地位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Nebius 所在赛道是 Neocloud / AI Cloud，而不是传统通用云。直接对手包括 CoreWeave、Nscale、Crusoe、Lambda；传统 hyperscaler（Azure、AWS、GCP、OCI）则是更宽口径的竞争者。资本市场交易层面，NBIS 与 CRWV、IREN、APLD 的联动更强。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5. </w:t>
      </w:r>
      <w:r>
        <w:rPr>
          <w:rFonts w:ascii="Noto Sans CJK SC" w:hAnsi="Noto Sans CJK SC" w:eastAsia="Noto Sans CJK SC"/>
          <w:b/>
          <w:color w:val="1D2733"/>
          <w:sz w:val="25"/>
        </w:rPr>
        <w:t>核心竞争力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全栈能力：GPU + 网络 + 存储 + Kubernetes + 推理，不是单纯机房/服务器出租。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NVIDIA关系：持续较早获得 Blackwell、Blackwell Ultra、Vera Rubin 等新平台，并具备 Reference Platform 合作地位。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融资工程：通过客户预付款、GPU资产担保融资、可转债、股权工具降低自有资本压力。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定价权：Q2老GPU价格仍上涨，短期容量与拍卖价格显示供给仍紧张。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Asset-light潜力：若合作方承担硬件和机房资本，Nebius 输出软件、平台、客户与运维，ROIC可发生结构性改善。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6. </w:t>
      </w:r>
      <w:r>
        <w:rPr>
          <w:rFonts w:ascii="Noto Sans CJK SC" w:hAnsi="Noto Sans CJK SC" w:eastAsia="Noto Sans CJK SC"/>
          <w:b/>
          <w:color w:val="1D2733"/>
          <w:sz w:val="25"/>
        </w:rPr>
        <w:t>主要竞争对手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公司/类别</w:t>
            </w:r>
          </w:p>
        </w:tc>
        <w:tc>
          <w:tcPr>
            <w:tcW w:type="dxa" w:w="340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相似点</w:t>
            </w:r>
          </w:p>
        </w:tc>
        <w:tc>
          <w:tcPr>
            <w:tcW w:type="dxa" w:w="340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关键差异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CoreWeave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最接近的上市 Neocloud 基准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规模/成熟度更高，资本结构同样复杂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Nscale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超大规模AI数据中心与GPU供给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电力pipeline激进，IPO带来新估值锚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Crusoe / Lambda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私营AI算力基础设施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融资与客户结构不透明，仍是供给侧竞争者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IREN / APLD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AI数据中心/电力资产交易篮子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商业模式更偏基础设施，云软件层更弱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Azure / AWS / GCP / OCI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完整云平台与企业客户基础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资源更强，但通用云结构未必最适合Neocloud的极致集群效率</w:t>
            </w:r>
          </w:p>
        </w:tc>
      </w:tr>
    </w:tbl>
    <w:p>
      <w:pPr>
        <w:keepNext/>
        <w:spacing w:before="100" w:after="100"/>
      </w:pPr>
      <w:r>
        <w:rPr>
          <w:b/>
          <w:color w:val="1769AA"/>
          <w:sz w:val="25"/>
        </w:rPr>
        <w:t xml:space="preserve">7. </w:t>
      </w:r>
      <w:r>
        <w:rPr>
          <w:rFonts w:ascii="Noto Sans CJK SC" w:hAnsi="Noto Sans CJK SC" w:eastAsia="Noto Sans CJK SC"/>
          <w:b/>
          <w:color w:val="1D2733"/>
          <w:sz w:val="25"/>
        </w:rPr>
        <w:t>未来12–24个月增长逻辑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2026 H2：把已经投入的 GPU 与数据中心转成 revenue；全年收入指引 $3.0–3.4B，年末 ARR 目标 $7–9B。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2027：大量 2026 H2 才上线的 capacity 进入完整年度贡献，管理层目标从 2027 年开始每年新增部署 &gt;1GW。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产品结构：从训练继续向 inference / agent workload 延伸，提高持续性与 GPU 利用率。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资本效率：Asset-light 模式若形成规模，可能把 Nebius 从纯重资产扩张模型升级为“基础设施平台+运营商”。</w:t>
      </w: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财务质量与估值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8. </w:t>
      </w:r>
      <w:r>
        <w:rPr>
          <w:rFonts w:ascii="Noto Sans CJK SC" w:hAnsi="Noto Sans CJK SC" w:eastAsia="Noto Sans CJK SC"/>
          <w:b/>
          <w:color w:val="1D2733"/>
          <w:sz w:val="25"/>
        </w:rPr>
        <w:t>核心财务指标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608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05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2026年上半年 / 第二季度</w:t>
            </w:r>
          </w:p>
        </w:tc>
        <w:tc>
          <w:tcPr>
            <w:tcW w:type="dxa" w:w="357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分析重点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2026年上半年营业收入</w:t>
            </w:r>
          </w:p>
        </w:tc>
        <w:tc>
          <w:tcPr>
            <w:tcW w:type="dxa" w:w="300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9.813亿美元</w:t>
            </w:r>
          </w:p>
        </w:tc>
        <w:tc>
          <w:tcPr>
            <w:tcW w:type="dxa" w:w="357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收入高速扩张</w:t>
            </w:r>
          </w:p>
        </w:tc>
      </w:tr>
      <w:tr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2026年第二季度营业收入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5.823亿美元 / 同比 +454%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单季已进入数亿美元级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2026年上半年调整后息税折旧摊销前利润</w:t>
            </w:r>
          </w:p>
        </w:tc>
        <w:tc>
          <w:tcPr>
            <w:tcW w:type="dxa" w:w="300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3.657亿美元</w:t>
            </w:r>
          </w:p>
        </w:tc>
        <w:tc>
          <w:tcPr>
            <w:tcW w:type="dxa" w:w="357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调整后盈利改善</w:t>
            </w:r>
          </w:p>
        </w:tc>
      </w:tr>
      <w:tr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2026年第二季度调整后息税折旧摊销前利润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2.362亿美元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集团层面盈利弹性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2026年第二季度经营亏损</w:t>
            </w:r>
          </w:p>
        </w:tc>
        <w:tc>
          <w:tcPr>
            <w:tcW w:type="dxa" w:w="300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-1.759亿美元</w:t>
            </w:r>
          </w:p>
        </w:tc>
        <w:tc>
          <w:tcPr>
            <w:tcW w:type="dxa" w:w="357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按美国通用会计准则口径，核心经营仍亏损</w:t>
            </w:r>
          </w:p>
        </w:tc>
      </w:tr>
      <w:tr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2026年第二季度折旧与摊销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2.597亿美元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高折旧是经济模型关键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2026年第二季度股权激励费用</w:t>
            </w:r>
          </w:p>
        </w:tc>
        <w:tc>
          <w:tcPr>
            <w:tcW w:type="dxa" w:w="300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1.025亿美元</w:t>
            </w:r>
          </w:p>
        </w:tc>
        <w:tc>
          <w:tcPr>
            <w:tcW w:type="dxa" w:w="357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股权稀释必须纳入每股价值分析</w:t>
            </w:r>
          </w:p>
        </w:tc>
      </w:tr>
      <w:tr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现金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80.4亿美元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短期流动性充足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债务</w:t>
            </w:r>
          </w:p>
        </w:tc>
        <w:tc>
          <w:tcPr>
            <w:tcW w:type="dxa" w:w="300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约85.5亿美元</w:t>
            </w:r>
          </w:p>
        </w:tc>
        <w:tc>
          <w:tcPr>
            <w:tcW w:type="dxa" w:w="357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融资结构迅速扩张</w:t>
            </w:r>
          </w:p>
        </w:tc>
      </w:tr>
      <w:tr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递延收入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约59.8亿美元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客户预付款显著改善现金流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CEE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B23A48"/>
                <w:sz w:val="20"/>
              </w:rPr>
              <w:t xml:space="preserve">美国通用会计准则净利润的陷阱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2026年上半年按美国通用会计准则计算的净利润约为4.308亿美元，但其中包含约7.806亿美元的股权投资重估收益。分析核心经营时，应优先看经营利润、折旧与摊销、股权激励费用、现金流与单位经济，而不是表面市盈率。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9. </w:t>
      </w:r>
      <w:r>
        <w:rPr>
          <w:rFonts w:ascii="Noto Sans CJK SC" w:hAnsi="Noto Sans CJK SC" w:eastAsia="Noto Sans CJK SC"/>
          <w:b/>
          <w:color w:val="1D2733"/>
          <w:sz w:val="25"/>
        </w:rPr>
        <w:t>CapEx / FCF / ROIC</w:t>
      </w:r>
    </w:p>
    <w:p>
      <w:r>
        <w:drawing>
          <wp:inline xmlns:a="http://schemas.openxmlformats.org/drawingml/2006/main" xmlns:pic="http://schemas.openxmlformats.org/drawingml/2006/picture">
            <wp:extent cx="6048000" cy="3127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2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color w:val="66717E"/>
          <w:sz w:val="15"/>
        </w:rPr>
        <w:t>资料来源：Nebius 2026 H1 / Q2财务报表；FCF按 OCF - CapEx 粗略估算。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2026 H1 OCF 约 $4.50B、CapEx 约 $8.13B，对应简单 FCF 约 -$3.63B。注意：OCF 本身被大量客户预付款显著抬升，因此不能把当前 FCF margin 与成熟 SaaS 或普通云公司直接比较。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当前 consolidated ROIC 同样失真，因为大量 GPU 与数据中心资产在 2026 年才投入，而收入与利用率要到 2027 年才完整体现。现阶段更应该跟踪 $/MW Revenue、CapEx/MW、预付款覆盖比例、GPU 利用率和合同 payback period。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7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单位经济的关键证据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管理层披露 Q2 新订单的“CapEx + 相关运营成本”payback period 已缩短到约 1年10个月。这是很强的需求/定价信号，但 payback period 并不等于 ROIC 或 IRR。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10. </w:t>
      </w:r>
      <w:r>
        <w:rPr>
          <w:rFonts w:ascii="Noto Sans CJK SC" w:hAnsi="Noto Sans CJK SC" w:eastAsia="Noto Sans CJK SC"/>
          <w:b/>
          <w:color w:val="1D2733"/>
          <w:sz w:val="25"/>
        </w:rPr>
        <w:t>估值框架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$66.7B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当前市值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9/24收盘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约19.6–22.2×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2026E P/S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按$3.0–3.4B收入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约22×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当前ARR倍数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按$3.0B AI Cloud ARR</w:t>
            </w:r>
          </w:p>
        </w:tc>
        <w:tc>
          <w:tcPr>
            <w:tcW w:type="dxa" w:w="2438"/>
            <w:shd w:fill="F2F6FA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69AA"/>
                <w:sz w:val="30"/>
              </w:rPr>
              <w:t>约7.4–9.5×</w:t>
            </w:r>
          </w:p>
          <w:p>
            <w:pPr>
              <w:jc w:val="center"/>
            </w:pPr>
            <w:r>
              <w:rPr>
                <w:b/>
                <w:color w:val="1D2733"/>
                <w:sz w:val="17"/>
              </w:rPr>
              <w:t>Exit ARR倍数</w:t>
            </w:r>
          </w:p>
          <w:p>
            <w:pPr>
              <w:jc w:val="center"/>
            </w:pPr>
            <w:r>
              <w:rPr>
                <w:color w:val="66717E"/>
                <w:sz w:val="14"/>
              </w:rPr>
              <w:t>按$7–9B年末ARR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核心结论：市场并不是在用 2026 年当期收入给 NBIS 定价，而是在提前折现 2027 年的收入和产能兑现。因此，未来股价能否继续扩张估值，取决于实际收入/ARR增长是否继续快于市场已经极高的预期。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11. </w:t>
      </w:r>
      <w:r>
        <w:rPr>
          <w:rFonts w:ascii="Noto Sans CJK SC" w:hAnsi="Noto Sans CJK SC" w:eastAsia="Noto Sans CJK SC"/>
          <w:b/>
          <w:color w:val="1D2733"/>
          <w:sz w:val="25"/>
        </w:rPr>
        <w:t>牛 / 基准 / 熊三情景</w:t>
      </w:r>
    </w:p>
    <w:p>
      <w:r>
        <w:drawing>
          <wp:inline xmlns:a="http://schemas.openxmlformats.org/drawingml/2006/main" xmlns:pic="http://schemas.openxmlformats.org/drawingml/2006/picture">
            <wp:extent cx="6048000" cy="2987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70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47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187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2027收入假设</w:t>
            </w:r>
          </w:p>
        </w:tc>
        <w:tc>
          <w:tcPr>
            <w:tcW w:type="dxa" w:w="170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Forward Sales</w:t>
            </w:r>
          </w:p>
        </w:tc>
        <w:tc>
          <w:tcPr>
            <w:tcW w:type="dxa" w:w="187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股权价值区间</w:t>
            </w:r>
          </w:p>
        </w:tc>
        <w:tc>
          <w:tcPr>
            <w:tcW w:type="dxa" w:w="2948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24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熊</w:t>
            </w:r>
          </w:p>
        </w:tc>
        <w:tc>
          <w:tcPr>
            <w:tcW w:type="dxa" w:w="187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$7–9B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3.5–5×</w:t>
            </w:r>
          </w:p>
        </w:tc>
        <w:tc>
          <w:tcPr>
            <w:tcW w:type="dxa" w:w="187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$25–45B</w:t>
            </w:r>
          </w:p>
        </w:tc>
        <w:tc>
          <w:tcPr>
            <w:tcW w:type="dxa" w:w="294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扩产/定价明显低于预期，估值压缩</w:t>
            </w:r>
          </w:p>
        </w:tc>
      </w:tr>
      <w:tr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基准</w:t>
            </w:r>
          </w:p>
        </w:tc>
        <w:tc>
          <w:tcPr>
            <w:tcW w:type="dxa" w:w="187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$10–12B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5.5–7×</w:t>
            </w:r>
          </w:p>
        </w:tc>
        <w:tc>
          <w:tcPr>
            <w:tcW w:type="dxa" w:w="187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$55–84B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增长兑现但估值回归更正常区间</w:t>
            </w:r>
          </w:p>
        </w:tc>
      </w:tr>
      <w:tr>
        <w:tc>
          <w:tcPr>
            <w:tcW w:type="dxa" w:w="124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牛</w:t>
            </w:r>
          </w:p>
        </w:tc>
        <w:tc>
          <w:tcPr>
            <w:tcW w:type="dxa" w:w="187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$14–16B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7–9×</w:t>
            </w:r>
          </w:p>
        </w:tc>
        <w:tc>
          <w:tcPr>
            <w:tcW w:type="dxa" w:w="187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$98–144B</w:t>
            </w:r>
          </w:p>
        </w:tc>
        <w:tc>
          <w:tcPr>
            <w:tcW w:type="dxa" w:w="294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供需持续紧张 + 平台化能力被认可</w:t>
            </w:r>
          </w:p>
        </w:tc>
      </w:tr>
    </w:tbl>
    <w:p>
      <w:pPr>
        <w:spacing w:before="40" w:after="160"/>
      </w:pPr>
      <w:r>
        <w:rPr>
          <w:color w:val="66717E"/>
          <w:sz w:val="15"/>
        </w:rPr>
        <w:t>资料来源：情景为研究建模，不是公司指引，也不是目标价。当前市值约 $66.7B。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赔率变化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2025年买 NBIS 主要在赌“公司能不能成功”；现在买 NBIS 更像是在赌“它成功的速度能不能继续超过市场已经很高的预期”。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催化剂、风险与市场争议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12. </w:t>
      </w:r>
      <w:r>
        <w:rPr>
          <w:rFonts w:ascii="Noto Sans CJK SC" w:hAnsi="Noto Sans CJK SC" w:eastAsia="Noto Sans CJK SC"/>
          <w:b/>
          <w:color w:val="1D2733"/>
          <w:sz w:val="25"/>
        </w:rPr>
        <w:t>核心催化剂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ARR继续上修：年末 $7–9B 如果进一步提高，会直接加速估值消化。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MW上线速度：800MW–1GW connected capacity 与 2027 &gt;1GW/year deployment。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新大型客户：从 Microsoft / Meta 扩散到更多 AI lab、企业、政府和 sovereign AI。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Vera Rubin：继续提前部署 NVIDIA 新一代平台，保持算力供给领先。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Asset-light：第三方资本承担数据中心/GPU资产，NBIS获取软件、客户与运营收益。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Palantir渠道：成为 sovereign AI infrastructure 合作方，获得企业与政府客户分发。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13. </w:t>
      </w:r>
      <w:r>
        <w:rPr>
          <w:rFonts w:ascii="Noto Sans CJK SC" w:hAnsi="Noto Sans CJK SC" w:eastAsia="Noto Sans CJK SC"/>
          <w:b/>
          <w:color w:val="1D2733"/>
          <w:sz w:val="25"/>
        </w:rPr>
        <w:t>最大风险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96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为什么重要</w:t>
            </w:r>
          </w:p>
        </w:tc>
        <w:tc>
          <w:tcPr>
            <w:tcW w:type="dxa" w:w="3628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需要监控的先行指标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CapEx execution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 CapEx $20–25B，相当于收入的约6–8倍</w:t>
            </w:r>
          </w:p>
        </w:tc>
        <w:tc>
          <w:tcPr>
            <w:tcW w:type="dxa" w:w="36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MW按期上线、在建工程、GPU到货、utilization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融资/稀释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可转债、ATM、SBC会使企业价值增长无法完全转化为每股价值</w:t>
            </w:r>
          </w:p>
        </w:tc>
        <w:tc>
          <w:tcPr>
            <w:tcW w:type="dxa" w:w="362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稀释股数、净债务、利息成本、每股ARR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GPU经济寿命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Blackwell→Rubin迭代可能使旧GPU真实折旧快于会计折旧</w:t>
            </w:r>
          </w:p>
        </w:tc>
        <w:tc>
          <w:tcPr>
            <w:tcW w:type="dxa" w:w="36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旧GPU定价、利用率、二手/续租价格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客户集中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大客户长约改善信用，但也提高议价与集中度风险</w:t>
            </w:r>
          </w:p>
        </w:tc>
        <w:tc>
          <w:tcPr>
            <w:tcW w:type="dxa" w:w="362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Top客户占比、合同变更、预付款比例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供需逆转</w:t>
            </w:r>
          </w:p>
        </w:tc>
        <w:tc>
          <w:tcPr>
            <w:tcW w:type="dxa" w:w="396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当前高$/MW可能包含阶段性稀缺溢价</w:t>
            </w:r>
          </w:p>
        </w:tc>
        <w:tc>
          <w:tcPr>
            <w:tcW w:type="dxa" w:w="362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短期/长期价格、利用率、竞品扩产速度</w:t>
            </w:r>
          </w:p>
        </w:tc>
      </w:tr>
    </w:tbl>
    <w:p>
      <w:pPr>
        <w:keepNext/>
        <w:spacing w:before="100" w:after="100"/>
      </w:pPr>
      <w:r>
        <w:rPr>
          <w:b/>
          <w:color w:val="1769AA"/>
          <w:sz w:val="25"/>
        </w:rPr>
        <w:t xml:space="preserve">14. </w:t>
      </w:r>
      <w:r>
        <w:rPr>
          <w:rFonts w:ascii="Noto Sans CJK SC" w:hAnsi="Noto Sans CJK SC" w:eastAsia="Noto Sans CJK SC"/>
          <w:b/>
          <w:color w:val="1D2733"/>
          <w:sz w:val="25"/>
        </w:rPr>
        <w:t>当前市场争议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牛方核心论点：AI compute 仍明显短缺。证据包括老 GPU 定价上涨、短期容量高价、capacity auction 创高，以及 2027 capacity 的强预售能力。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熊方核心论点：当前高价可能包含 AI 资本充裕时期的 scarcity rent，并不等于长期均衡价格。一旦 VC/大厂资本开支放缓、GPU供给正常化，$/MW 和估值倍数可能同时下压。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真正的长期分水岭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2028年前后如果GPU供给正常化，NBIS 的 moat 到底来自软件/平台与集群效率，还是主要来自今天暂时稀缺的GPU？这决定它最终更像“基础设施公司”还是“平台公司”。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股性、板块联动与技术结构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15. </w:t>
      </w:r>
      <w:r>
        <w:rPr>
          <w:rFonts w:ascii="Noto Sans CJK SC" w:hAnsi="Noto Sans CJK SC" w:eastAsia="Noto Sans CJK SC"/>
          <w:b/>
          <w:color w:val="1D2733"/>
          <w:sz w:val="25"/>
        </w:rPr>
        <w:t>股性特征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NBIS 是典型 High Beta + High Growth + High Short Interest + Event Driven AI stock。截至 2026-09-15，FINRA/Longbridge数据显示 short shares 约 46.8M、short interest 约17.1%、days to cover 约3.6天；6月底空头比例一度接近24%。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这意味着正向消息很容易形成“gap → short covering → momentum追涨”，负面融资/CapEx/AI risk-off 也会形成快速多杀多。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16. </w:t>
      </w:r>
      <w:r>
        <w:rPr>
          <w:rFonts w:ascii="Noto Sans CJK SC" w:hAnsi="Noto Sans CJK SC" w:eastAsia="Noto Sans CJK SC"/>
          <w:b/>
          <w:color w:val="1D2733"/>
          <w:sz w:val="25"/>
        </w:rPr>
        <w:t>与板块相关性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17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观察对象</w:t>
            </w:r>
          </w:p>
        </w:tc>
        <w:tc>
          <w:tcPr>
            <w:tcW w:type="dxa" w:w="464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</w:t>
            </w:r>
          </w:p>
        </w:tc>
        <w:tc>
          <w:tcPr>
            <w:tcW w:type="dxa" w:w="311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CRWV</w:t>
            </w:r>
          </w:p>
        </w:tc>
        <w:tc>
          <w:tcPr>
            <w:tcW w:type="dxa" w:w="464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最直接Neocloud同类，判断行业资金与订单定价</w:t>
            </w:r>
          </w:p>
        </w:tc>
      </w:tr>
      <w:t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</w:t>
            </w:r>
          </w:p>
        </w:tc>
        <w:tc>
          <w:tcPr>
            <w:tcW w:type="dxa" w:w="311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IREN / APLD</w:t>
            </w:r>
          </w:p>
        </w:tc>
        <w:tc>
          <w:tcPr>
            <w:tcW w:type="dxa" w:w="464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AI数据中心与电力资产risk-on/risk-off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3</w:t>
            </w:r>
          </w:p>
        </w:tc>
        <w:tc>
          <w:tcPr>
            <w:tcW w:type="dxa" w:w="311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NVDA</w:t>
            </w:r>
          </w:p>
        </w:tc>
        <w:tc>
          <w:tcPr>
            <w:tcW w:type="dxa" w:w="464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GPU周期、新平台供给与AI硬件情绪</w:t>
            </w:r>
          </w:p>
        </w:tc>
      </w:tr>
      <w:t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4</w:t>
            </w:r>
          </w:p>
        </w:tc>
        <w:tc>
          <w:tcPr>
            <w:tcW w:type="dxa" w:w="311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QQQ / Nasdaq</w:t>
            </w:r>
          </w:p>
        </w:tc>
        <w:tc>
          <w:tcPr>
            <w:tcW w:type="dxa" w:w="464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高Beta成长股整体风险偏好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5</w:t>
            </w:r>
          </w:p>
        </w:tc>
        <w:tc>
          <w:tcPr>
            <w:tcW w:type="dxa" w:w="3118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美债利率 / Credit Spread</w:t>
            </w:r>
          </w:p>
        </w:tc>
        <w:tc>
          <w:tcPr>
            <w:tcW w:type="dxa" w:w="4649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融资成本与长久期估值折现</w:t>
            </w:r>
          </w:p>
        </w:tc>
      </w:tr>
    </w:tbl>
    <w:p>
      <w:pPr>
        <w:keepNext/>
        <w:spacing w:before="100" w:after="100"/>
      </w:pPr>
      <w:r>
        <w:rPr>
          <w:b/>
          <w:color w:val="1769AA"/>
          <w:sz w:val="25"/>
        </w:rPr>
        <w:t xml:space="preserve">17. </w:t>
      </w:r>
      <w:r>
        <w:rPr>
          <w:rFonts w:ascii="Noto Sans CJK SC" w:hAnsi="Noto Sans CJK SC" w:eastAsia="Noto Sans CJK SC"/>
          <w:b/>
          <w:color w:val="1D2733"/>
          <w:sz w:val="25"/>
        </w:rPr>
        <w:t>宏观敏感因素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长端利率与信用利差：NBIS需要持续融资，利率上升会同时打击融资成本与估值倍数。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AI CapEx cycle：META / MSFT / GOOGL / AMZN若削减资本开支，整个AI基础设施板块都会重估。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NVIDIA product cycle：Blackwell → Blackwell Ultra → Rubin决定供给代际与旧GPU经济寿命。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电力：Power availability 已经成为AI数据中心真正的物理瓶颈之一。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资本市场流动性：预付款、债务、可转债和股权市场必须持续畅通。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18. </w:t>
      </w:r>
      <w:r>
        <w:rPr>
          <w:rFonts w:ascii="Noto Sans CJK SC" w:hAnsi="Noto Sans CJK SC" w:eastAsia="Noto Sans CJK SC"/>
          <w:b/>
          <w:color w:val="1D2733"/>
          <w:sz w:val="25"/>
        </w:rPr>
        <w:t>历史典型走势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2026年的价格行为充分展示了 NBIS 的高波动属性：3月重大合作/订单催化后从约 $90–100 快速突破并走到 $200+；6月底一度接近 $276，随后7月回撤到约 $190–200；8月财报后再次冲到约 $278，月底又回到约 $206。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交易认知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在 NBIS 上，20–30% drawdown 并不自动等于 thesis 破坏。判断必须回到 ARR、MW上线、$/MW、margin、融资成本与稀释，而不是只看跌幅。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19. </w:t>
      </w:r>
      <w:r>
        <w:rPr>
          <w:rFonts w:ascii="Noto Sans CJK SC" w:hAnsi="Noto Sans CJK SC" w:eastAsia="Noto Sans CJK SC"/>
          <w:b/>
          <w:color w:val="1D2733"/>
          <w:sz w:val="25"/>
        </w:rPr>
        <w:t>当前技术结构</w:t>
      </w:r>
    </w:p>
    <w:p>
      <w:r>
        <w:drawing>
          <wp:inline xmlns:a="http://schemas.openxmlformats.org/drawingml/2006/main" xmlns:pic="http://schemas.openxmlformats.org/drawingml/2006/picture">
            <wp:extent cx="6048000" cy="2926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9月初约 $200 附近企稳后，目前已经形成 higher low → reclaim → breakout attempt。$249–250 是第一阻力；$232–236 是近期突破平台；$220–225 是第二道趋势防线；$206–210 是本轮上升结构的关键失效区。上方真正的大级别供给区在 $276–278。</w:t>
      </w:r>
    </w:p>
    <w:p>
      <w:pPr>
        <w:spacing w:before="40" w:after="160"/>
      </w:pPr>
      <w:r>
        <w:rPr>
          <w:color w:val="66717E"/>
          <w:sz w:val="15"/>
        </w:rPr>
        <w:t>资料来源：Longbridge日线/60分钟K线，数据截至2026-09-24常规交易时段。</w:t>
      </w: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Thesis验证、证伪与最新动态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20. </w:t>
      </w:r>
      <w:r>
        <w:rPr>
          <w:rFonts w:ascii="Noto Sans CJK SC" w:hAnsi="Noto Sans CJK SC" w:eastAsia="Noto Sans CJK SC"/>
          <w:b/>
          <w:color w:val="1D2733"/>
          <w:sz w:val="25"/>
        </w:rPr>
        <w:t>Thesis验证清单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567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170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12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验证标准</w:t>
            </w:r>
          </w:p>
        </w:tc>
        <w:tc>
          <w:tcPr>
            <w:tcW w:type="dxa" w:w="794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收入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FY2026 Revenue维持/突破 $3.0–3.4B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ARR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年末 ARR 达到 $7–9B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3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盈利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AI Cloud Adj. EBITDA margin 维持约45–50%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4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折旧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D&amp;A / Revenue 随产能成熟逐步下降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5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产能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年末 connected power 达到800MW–1GW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6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电力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contracted power 达到5GW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7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2027扩产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真正做到 &gt;1GW/year deployment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8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定价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中期订单 ACV 维持 $20–25M/MW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9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短期价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稀缺容量仍能达到 $40M+/MW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10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预付款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新合同预付款继续覆盖约50–60% CapEx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11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融资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asset-backed financing利差保持可控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12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Asset-light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轻资产收入真正开始规模化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13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Inference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Token Factory / inference workload继续高增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14</w:t>
            </w:r>
          </w:p>
        </w:tc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客户结构</w:t>
            </w:r>
          </w:p>
        </w:tc>
        <w:tc>
          <w:tcPr>
            <w:tcW w:type="dxa" w:w="612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从MSFT/META扩展到更多客户</w:t>
            </w:r>
          </w:p>
        </w:tc>
        <w:tc>
          <w:tcPr>
            <w:tcW w:type="dxa" w:w="79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  <w:tr>
        <w:tc>
          <w:tcPr>
            <w:tcW w:type="dxa" w:w="56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15</w:t>
            </w:r>
          </w:p>
        </w:tc>
        <w:tc>
          <w:tcPr>
            <w:tcW w:type="dxa" w:w="1701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每股价值</w:t>
            </w:r>
          </w:p>
        </w:tc>
        <w:tc>
          <w:tcPr>
            <w:tcW w:type="dxa" w:w="6123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稀释速度低于每股Revenue/ARR增长</w:t>
            </w:r>
          </w:p>
        </w:tc>
        <w:tc>
          <w:tcPr>
            <w:tcW w:type="dxa" w:w="794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□</w:t>
            </w:r>
          </w:p>
        </w:tc>
      </w:tr>
    </w:tbl>
    <w:p>
      <w:pPr>
        <w:keepNext/>
        <w:spacing w:before="100" w:after="100"/>
      </w:pPr>
      <w:r>
        <w:rPr>
          <w:b/>
          <w:color w:val="1769AA"/>
          <w:sz w:val="25"/>
        </w:rPr>
        <w:t xml:space="preserve">21. </w:t>
      </w:r>
      <w:r>
        <w:rPr>
          <w:rFonts w:ascii="Noto Sans CJK SC" w:hAnsi="Noto Sans CJK SC" w:eastAsia="Noto Sans CJK SC"/>
          <w:b/>
          <w:color w:val="1D2733"/>
          <w:sz w:val="25"/>
        </w:rPr>
        <w:t>哪些情况意味着逻辑证伪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1. FY2026 Revenue 明显低于 $3B，且不是简单确认时点问题。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2. 年末 ARR 明显低于 $7B。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3. connected power / GPU deployment 连续延期。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4. $/MW 快速下降，同时 utilization 同步下降。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5. AI Cloud Adj. EBITDA margin 持续跌向30%附近。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6. 客户预付款显著下降，说明议价权反转。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7. 新增融资利差持续快速上升，credit market开始要求更高风险补偿。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8. 股权/可转债/SBC稀释速度长期高于每股Revenue/ARR增速。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9. Microsoft / Meta 长约发生重大修改、延期或取消。</w:t>
      </w:r>
    </w:p>
    <w:p>
      <w:pPr>
        <w:pStyle w:val="ListBullet"/>
        <w:spacing w:after="60"/>
        <w:ind w:left="283"/>
      </w:pPr>
      <w:r>
        <w:rPr>
          <w:rFonts w:ascii="Noto Sans CJK SC" w:hAnsi="Noto Sans CJK SC" w:eastAsia="Noto Sans CJK SC"/>
          <w:sz w:val="19"/>
        </w:rPr>
        <w:t>10. 旧GPU经济价值衰减显著快于会计折旧假设。</w:t>
      </w:r>
    </w:p>
    <w:p>
      <w:pPr>
        <w:keepNext/>
        <w:spacing w:before="100" w:after="100"/>
      </w:pPr>
      <w:r>
        <w:rPr>
          <w:b/>
          <w:color w:val="1769AA"/>
          <w:sz w:val="25"/>
        </w:rPr>
        <w:t xml:space="preserve">22. </w:t>
      </w:r>
      <w:r>
        <w:rPr>
          <w:rFonts w:ascii="Noto Sans CJK SC" w:hAnsi="Noto Sans CJK SC" w:eastAsia="Noto Sans CJK SC"/>
          <w:b/>
          <w:color w:val="1D2733"/>
          <w:sz w:val="25"/>
        </w:rPr>
        <w:t>最新动态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17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42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40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投资含义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2026-09-24</w:t>
            </w:r>
          </w:p>
        </w:tc>
        <w:tc>
          <w:tcPr>
            <w:tcW w:type="dxa" w:w="442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股价收 $243.48，+7.44%；市场交易评级上调与GPU pricing power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情绪/估值催化，尚非新财报</w:t>
            </w:r>
          </w:p>
        </w:tc>
      </w:tr>
      <w:t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2026-09-24</w:t>
            </w:r>
          </w:p>
        </w:tc>
        <w:tc>
          <w:tcPr>
            <w:tcW w:type="dxa" w:w="442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Nebius + WEKA 公布 agentic inference 的 distributed KV-cache benchmark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向长上下文agent推理基础设施延伸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2026-09-22</w:t>
            </w:r>
          </w:p>
        </w:tc>
        <w:tc>
          <w:tcPr>
            <w:tcW w:type="dxa" w:w="442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推出动态 Spot Pricing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提高闲置GPU利用率与收益管理能力</w:t>
            </w:r>
          </w:p>
        </w:tc>
      </w:tr>
      <w:t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2026-09-08</w:t>
            </w:r>
          </w:p>
        </w:tc>
        <w:tc>
          <w:tcPr>
            <w:tcW w:type="dxa" w:w="442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与 Palantir 达成 sovereign AI infrastructure 合作</w:t>
            </w:r>
          </w:p>
        </w:tc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潜在企业/政府分发渠道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2026-08-24</w:t>
            </w:r>
          </w:p>
        </w:tc>
        <w:tc>
          <w:tcPr>
            <w:tcW w:type="dxa" w:w="442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$5.75B 可转债融资完成</w:t>
            </w:r>
          </w:p>
        </w:tc>
        <w:tc>
          <w:tcPr>
            <w:tcW w:type="dxa" w:w="340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扩产资金充足，但资本结构和稀释更复杂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0B1F33"/>
                <w:sz w:val="20"/>
              </w:rPr>
              <w:t xml:space="preserve">当前研究结论  </w:t>
            </w:r>
            <w:r>
              <w:rPr>
                <w:rFonts w:ascii="Noto Sans CJK SC" w:hAnsi="Noto Sans CJK SC" w:eastAsia="Noto Sans CJK SC"/>
                <w:color w:val="1D2733"/>
                <w:sz w:val="19"/>
              </w:rPr>
              <w:t>NBIS 是“已经完成需求验证，但尚未完成资本回报率验证”的 AI 基础设施公司。第一道题——有没有人买算力——答案越来越明确；第二道题——单位经济是否赚钱——50%左右AI Cloud Adj. EBITDA margin给出了初步证据；第三道题——扣除真实折旧、利息、更新换代和稀释后，每股最终能留下多少自由现金流——仍未得到验证。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交易与跟踪框架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对 NBIS 最有效的跟踪方式，不是每天把22项全部重新研究，而是把它当成一个“高预期、高资本强度、高事件驱动”的验证型持仓。日常只检查增量变化是否改变以下四条主线。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主线</w:t>
            </w:r>
          </w:p>
        </w:tc>
        <w:tc>
          <w:tcPr>
            <w:tcW w:type="dxa" w:w="3515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4082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高频跟踪指标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需求</w:t>
            </w:r>
          </w:p>
        </w:tc>
        <w:tc>
          <w:tcPr>
            <w:tcW w:type="dxa" w:w="351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供不应求是否延续？</w:t>
            </w:r>
          </w:p>
        </w:tc>
        <w:tc>
          <w:tcPr>
            <w:tcW w:type="dxa" w:w="408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$/MW、短期/长期价格、利用率、订单规模</w:t>
            </w:r>
          </w:p>
        </w:tc>
      </w:tr>
      <w:tr>
        <w:tc>
          <w:tcPr>
            <w:tcW w:type="dxa" w:w="158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供给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产能能否按期变成收入？</w:t>
            </w:r>
          </w:p>
        </w:tc>
        <w:tc>
          <w:tcPr>
            <w:tcW w:type="dxa" w:w="408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connected MW、GPU到货、数据中心投产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资本</w:t>
            </w:r>
          </w:p>
        </w:tc>
        <w:tc>
          <w:tcPr>
            <w:tcW w:type="dxa" w:w="351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增长是否越来越依赖稀释？</w:t>
            </w:r>
          </w:p>
        </w:tc>
        <w:tc>
          <w:tcPr>
            <w:tcW w:type="dxa" w:w="408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预付款、债务、可转债、ATM、SBC、利差</w:t>
            </w:r>
          </w:p>
        </w:tc>
      </w:tr>
      <w:tr>
        <w:tc>
          <w:tcPr>
            <w:tcW w:type="dxa" w:w="158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平台化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NBIS是否摆脱纯GPU租赁估值？</w:t>
            </w:r>
          </w:p>
        </w:tc>
        <w:tc>
          <w:tcPr>
            <w:tcW w:type="dxa" w:w="408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D2733"/>
                <w:sz w:val="16"/>
              </w:rPr>
              <w:t>Inference、Agent、Asset-light、软件附加率</w:t>
            </w:r>
          </w:p>
        </w:tc>
      </w:tr>
    </w:tbl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短线：关注 $250 是否完成有效突破；若成功，$276–278 前高是下一关键供给区。回落时 $232–236 是第一观察区，$220–225 是第二趋势防线，重新跌破 $206–210 则需要重新审视这一轮趋势结构。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中线：股价可以先于基本面走，但最终必须由Q3/Q4 Revenue、年末ARR和MW上线速度来消化估值。如果股价创新高而这些指标不再上修，则风险收益比会快速恶化。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color w:val="1D2733"/>
          <w:sz w:val="20"/>
        </w:rPr>
        <w:t>长线：真正决定 NBIS 是否能进入 $100B+ 价值区间的，不是单纯“AI继续增长”，而是它能否把当前的GPU供给稀缺，沉淀成软件、调度、客户关系与资本效率上的持续优势。</w:t>
      </w:r>
    </w:p>
    <w:p>
      <w:r>
        <w:br w:type="page"/>
      </w:r>
    </w:p>
    <w:p>
      <w:pPr>
        <w:keepNext/>
        <w:spacing w:before="160" w:after="100"/>
      </w:pPr>
      <w:r>
        <w:rPr>
          <w:rFonts w:ascii="Noto Sans CJK SC" w:hAnsi="Noto Sans CJK SC" w:eastAsia="Noto Sans CJK SC"/>
          <w:b/>
          <w:color w:val="0B1F33"/>
          <w:sz w:val="34"/>
        </w:rPr>
        <w:t>主要资料来源</w:t>
      </w:r>
    </w:p>
    <w:p>
      <w:pPr>
        <w:spacing w:after="100"/>
      </w:pPr>
      <w:r>
        <w:rPr>
          <w:b/>
          <w:sz w:val="18"/>
        </w:rPr>
        <w:t>1. Nebius Group Q2 2026 财报 / Form 6-K</w:t>
      </w:r>
      <w:r>
        <w:rPr>
          <w:color w:val="66717E"/>
          <w:sz w:val="16"/>
        </w:rPr>
        <w:br/>
        <w:t>https://www.sec.gov/Archives/edgar/data/1513845/000110465926094568/tm2622968d1_ex99-1.htm</w:t>
      </w:r>
    </w:p>
    <w:p>
      <w:pPr>
        <w:spacing w:after="100"/>
      </w:pPr>
      <w:r>
        <w:rPr>
          <w:b/>
          <w:sz w:val="18"/>
        </w:rPr>
        <w:t>2. Nebius Q2 2026 earnings / management commentary</w:t>
      </w:r>
      <w:r>
        <w:rPr>
          <w:color w:val="66717E"/>
          <w:sz w:val="16"/>
        </w:rPr>
        <w:br/>
        <w:t>https://www.sec.gov/Archives/edgar/data/1513845/000110465926094568/tm2622968d1_ex99-2.htm</w:t>
      </w:r>
    </w:p>
    <w:p>
      <w:pPr>
        <w:spacing w:after="100"/>
      </w:pPr>
      <w:r>
        <w:rPr>
          <w:b/>
          <w:sz w:val="18"/>
        </w:rPr>
        <w:t>3. Nebius Q2 2026 earnings call transcript</w:t>
      </w:r>
      <w:r>
        <w:rPr>
          <w:color w:val="66717E"/>
          <w:sz w:val="16"/>
        </w:rPr>
        <w:br/>
        <w:t>https://www.fool.com/earnings/call-transcripts/2026/08/19/nebius-nbis-q2-2026-earnings-call-transcript/</w:t>
      </w:r>
    </w:p>
    <w:p>
      <w:pPr>
        <w:spacing w:after="100"/>
      </w:pPr>
      <w:r>
        <w:rPr>
          <w:b/>
          <w:sz w:val="18"/>
        </w:rPr>
        <w:t>4. Meta长期容量协议 / Form 6-K</w:t>
      </w:r>
      <w:r>
        <w:rPr>
          <w:color w:val="66717E"/>
          <w:sz w:val="16"/>
        </w:rPr>
        <w:br/>
        <w:t>https://www.sec.gov/Archives/edgar/data/1513845/000110465926027886/tm268879d1_6k.htm</w:t>
      </w:r>
    </w:p>
    <w:p>
      <w:pPr>
        <w:spacing w:after="100"/>
      </w:pPr>
      <w:r>
        <w:rPr>
          <w:b/>
          <w:sz w:val="18"/>
        </w:rPr>
        <w:t>5. Nebius首笔GPU担保融资（$775M）</w:t>
      </w:r>
      <w:r>
        <w:rPr>
          <w:color w:val="66717E"/>
          <w:sz w:val="16"/>
        </w:rPr>
        <w:br/>
        <w:t>https://nebius.com/newsroom/nebius-raises-775-million-in-first-secured-debt-financing-to-accelerate-global-buildout</w:t>
      </w:r>
    </w:p>
    <w:p>
      <w:pPr>
        <w:spacing w:after="100"/>
      </w:pPr>
      <w:r>
        <w:rPr>
          <w:b/>
          <w:sz w:val="18"/>
        </w:rPr>
        <w:t>6. Nebius轻资产AI Cloud合作模式</w:t>
      </w:r>
      <w:r>
        <w:rPr>
          <w:color w:val="66717E"/>
          <w:sz w:val="16"/>
        </w:rPr>
        <w:br/>
        <w:t>https://nebius.com/newsroom/nebius-introduces-business-model-to-scale-ai-cloud-globally-through-infrastructure-partnerships</w:t>
      </w:r>
    </w:p>
    <w:p>
      <w:pPr>
        <w:spacing w:after="100"/>
      </w:pPr>
      <w:r>
        <w:rPr>
          <w:b/>
          <w:sz w:val="18"/>
        </w:rPr>
        <w:t>7. Nebius $5.75B convertible notes</w:t>
      </w:r>
      <w:r>
        <w:rPr>
          <w:color w:val="66717E"/>
          <w:sz w:val="16"/>
        </w:rPr>
        <w:br/>
        <w:t>https://nebius.com/newsroom/nebius-group-announces-closing-of-private-offering-of-convertible-senior-notes-with-aggregate-gross-proceeds-of-approximately-5-75-billion</w:t>
      </w:r>
    </w:p>
    <w:p>
      <w:pPr>
        <w:spacing w:after="100"/>
      </w:pPr>
      <w:r>
        <w:rPr>
          <w:b/>
          <w:sz w:val="18"/>
        </w:rPr>
        <w:t>8. Palantir × Nebius sovereign AI partnership</w:t>
      </w:r>
      <w:r>
        <w:rPr>
          <w:color w:val="66717E"/>
          <w:sz w:val="16"/>
        </w:rPr>
        <w:br/>
        <w:t>https://nebius.com/newsroom/palantir-and-nebius-partner-to-deliver-a-complete-sovereign-ai-stack-to-palantir-customers</w:t>
      </w:r>
    </w:p>
    <w:p>
      <w:pPr>
        <w:spacing w:after="100"/>
      </w:pPr>
      <w:r>
        <w:rPr>
          <w:b/>
          <w:sz w:val="18"/>
        </w:rPr>
        <w:t>9. Nebius Spot Pricing</w:t>
      </w:r>
      <w:r>
        <w:rPr>
          <w:color w:val="66717E"/>
          <w:sz w:val="16"/>
        </w:rPr>
        <w:br/>
        <w:t>https://nebius.com/blog/posts/introducing-spot-pricing-for-preemptible-vms</w:t>
      </w:r>
    </w:p>
    <w:p>
      <w:pPr>
        <w:spacing w:after="100"/>
      </w:pPr>
      <w:r>
        <w:rPr>
          <w:b/>
          <w:sz w:val="18"/>
        </w:rPr>
        <w:t>10. Nebius × WEKA KV-cache benchmark</w:t>
      </w:r>
      <w:r>
        <w:rPr>
          <w:color w:val="66717E"/>
          <w:sz w:val="16"/>
        </w:rPr>
        <w:br/>
        <w:t>https://nebius.com/blog/posts/nebius-weka-shared-kv-cache-benchmark-hgx-b300</w:t>
      </w:r>
    </w:p>
    <w:p>
      <w:pPr>
        <w:spacing w:after="100"/>
      </w:pPr>
      <w:r>
        <w:rPr>
          <w:b/>
          <w:sz w:val="18"/>
        </w:rPr>
        <w:t>11. Longbridge市场数据</w:t>
      </w:r>
      <w:r>
        <w:rPr>
          <w:color w:val="66717E"/>
          <w:sz w:val="16"/>
        </w:rPr>
        <w:br/>
        <w:t>行情、K线、财报一致预期、short interest；数据截至2026-09-24/15</w:t>
      </w:r>
    </w:p>
    <w:p>
      <w:pPr>
        <w:spacing w:after="100"/>
        <w:pBdr>
          <w:bottom w:val="single" w:sz="1" w:space="1" w:color="D9E5F0"/>
        </w:pBdr>
      </w:pPr>
    </w:p>
    <w:p>
      <w:r>
        <w:rPr>
          <w:color w:val="66717E"/>
          <w:sz w:val="17"/>
        </w:rPr>
        <w:t>说明：本报告用于个人投研归档。估值情景属于研究假设，不构成公司指引；市场价格、预期和技术位会随行情变化。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7E"/>
        <w:sz w:val="16"/>
      </w:rPr>
      <w:t>Nebius Group 个股档案  ·  数据基准 2026-09-25</w:t>
    </w:r>
    <w:r>
      <w:t xml:space="preserve">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17E"/>
        <w:sz w:val="16"/>
      </w:rPr>
      <w:t>美股个股研究库  |  NBIS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color w:val="66717E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