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LITE｜Lumentum 个股档案 投研版</w:t>
      </w:r>
    </w:p>
    <w:p/>
    <w:p>
      <w:r>
        <w:t>资料更新至2026年10月2日；行情与技术结构统一采用2026年10月1日美股常规收盘，不混用盘后或隔夜价格。最新完整财务年度截至2026年6月27日，最新季度为2026财年第四季度。金额以美元计，核心财务统一使用“亿美元”。</w:t>
      </w:r>
    </w:p>
    <w:p/>
    <w:p>
      <w:r>
        <w:t>参考价格1045.78美元，当日上涨7.67%；普通股口径市值约938.06亿美元。市值所用8970万普通股是2026年8月14日披露数，并非实时完全稀释股本。以下将公司已实现业绩、管理层指引与研究情景分别标明。[1][2][3]</w:t>
      </w:r>
    </w:p>
    <w:p/>
    <w:p>
      <w:r>
        <w:t>先给核心结论</w:t>
      </w:r>
    </w:p>
    <w:p/>
    <w:p>
      <w:r>
        <w:t>1. Lumentum已经跨过“只有AI光通信概念”的阶段。2026财年收入增长83.2%，最新季度同比增长109.3%，EML激光器、数据中心互联及光模块已有真实收入支撑。</w:t>
      </w:r>
    </w:p>
    <w:p>
      <w:r>
        <w:t>2. 研究它，最重要的是理解高性能光源的制造能力如何变现。端口变快、光连接增加是需求；晶圆产能、良率、认证和交付决定公司实际能赚多少钱。</w:t>
      </w:r>
    </w:p>
    <w:p>
      <w:r>
        <w:t>3. EML、连续波激光器、光模块、光路交换和共封装光学是不同环节。它们可以共同扩大机会，但不能把同一客户需求重复计算，也不能把尚未兑现的CPO收入加进现有财报。</w:t>
      </w:r>
    </w:p>
    <w:p>
      <w:r>
        <w:t>4. 巨额账面净亏不是主营业务突然崩塌。全年69.351亿美元净亏，主要受到77.566亿美元非现金债务清偿损失影响；但债转股和其他股权发行造成的每股稀释，仍须认真计算。</w:t>
      </w:r>
    </w:p>
    <w:p>
      <w:r>
        <w:t>5. 公司经营改善和股票估值合理，是两道不同的问题。约31.1倍历史销售额、120.6倍历史调整后每股收益，要求未来多年增长和现金回报持续兑现。</w:t>
      </w:r>
    </w:p>
    <w:p>
      <w:r>
        <w:t>6. NVIDIA投资强化了资金与客户关系，但不是独家采购，也不是20亿美元销售收入。投资、采购承诺、产能使用权和产品交付各有不同经济含义。[13]</w:t>
      </w:r>
    </w:p>
    <w:p>
      <w:r>
        <w:t>7. 我的核心判断：LITE是已经验证需求、正在证明制造与利润弹性，但仍需验证扩产后每股现金回报的光子企业。最值得跟踪的是交付、利润率、现金流和稀释，而非热词数量。</w:t>
      </w:r>
    </w:p>
    <w:p/>
    <w:p>
      <w:pPr>
        <w:pStyle w:val="Heading2"/>
      </w:pPr>
      <w:r>
        <w:t>1. 一句话看懂公司</w:t>
      </w:r>
    </w:p>
    <w:p/>
    <w:p>
      <w:r>
        <w:t>Lumentum制造让数据通过光传输所需的激光芯片、光学组件、光模块与交换系统，把云和AI数据中心不断增加的连接需求转成产品收入。</w:t>
      </w:r>
    </w:p>
    <w:p/>
    <w:p>
      <w:r>
        <w:t>它既有“卖关键零部件”的业务，也有“卖完整解决方案”的业务。前者类似提供一台机器里最难做的发动机，后者是把发动机与其他部件装成可直接部署的整机。理解这两层，才能看懂为何它一方面给光模块厂商供货，另一方面自己也卖光模块。</w:t>
      </w:r>
    </w:p>
    <w:p/>
    <w:p>
      <w:r>
        <w:t>它还保留电信、工业激光和感知应用。AI是增长重心，但不是公司全部收入的同义词。[1]</w:t>
      </w:r>
    </w:p>
    <w:p/>
    <w:p>
      <w:pPr>
        <w:pStyle w:val="Heading2"/>
      </w:pPr>
      <w:r>
        <w:t>2. 商业模式</w:t>
      </w:r>
    </w:p>
    <w:p/>
    <w:p>
      <w:r>
        <w:t>第一层是关键器件。公司设计并制造高速激光芯片、激光子组件、线路和波长管理产品，卖给模块厂商、网络设备厂商及基础设施客户。收入主要随实际出货确认，不是随客户宣布一个数据中心项目便全部入账。</w:t>
      </w:r>
    </w:p>
    <w:p/>
    <w:p>
      <w:r>
        <w:t>第二层是完整系统。公司向客户提供光模块、光路交换系统以及工业激光产品。这一层提高了每个项目可提供的产品价值，也增加了封装、测试、采购、库存和交付管理的复杂度。</w:t>
      </w:r>
    </w:p>
    <w:p/>
    <w:p>
      <w:r>
        <w:t>第三层是客户共同规划产能。大客户通过长期协议和产能安排提高供货可见度，Lumentum提前投资工厂与研发。真正的经济链条是：客户需求与认证→产能建设→良品出货→收入和利润→现金回收。任何一环延期，前面的采购意向都不能自动变成后面的现金。</w:t>
      </w:r>
    </w:p>
    <w:p/>
    <w:p>
      <w:r>
        <w:t>这种模式有明显经营杠杆：工厂负荷提高、高端产品占比上升时，利润可能增长得比收入更快；负荷下降时，设备和团队成本也不会同步消失。它不是不需要投入资本的平台生意。[1][4]</w:t>
      </w:r>
    </w:p>
    <w:p/>
    <w:p>
      <w:pPr>
        <w:pStyle w:val="Heading2"/>
      </w:pPr>
      <w:r>
        <w:t>3. 收入结构</w:t>
      </w:r>
    </w:p>
    <w:p/>
    <w:p>
      <w:r>
        <w:t>2026财年起，公司从原来的“云与网络”“工业技术”两个报告分部，改为一个综合报告分部，但继续按产品类型披露收入。</w:t>
      </w:r>
    </w:p>
    <w:p/>
    <w:p>
      <w:r>
        <w:t>全年收入30.140亿美元：</w:t>
      </w:r>
    </w:p>
    <w:p>
      <w:r>
        <w:t>- 组件产品20.056亿美元，占66.5%，同比增长79.7%</w:t>
      </w:r>
    </w:p>
    <w:p>
      <w:r>
        <w:t>- 系统产品10.084亿美元，占33.5%，同比增长90.7%</w:t>
      </w:r>
    </w:p>
    <w:p/>
    <w:p>
      <w:r>
        <w:t>第四季度收入10.063亿美元：</w:t>
      </w:r>
    </w:p>
    <w:p>
      <w:r>
        <w:t>- 组件产品6.494亿美元，占64.5%</w:t>
      </w:r>
    </w:p>
    <w:p>
      <w:r>
        <w:t>- 系统产品3.569亿美元，占35.5%</w:t>
      </w:r>
    </w:p>
    <w:p/>
    <w:p>
      <w:r>
        <w:t>组件包括激光芯片、激光子组件和波长管理等；系统包括光模块、光路交换和工业激光。因此，不能把组件收入全部叫EML收入，也不能把系统收入全部叫AI光模块收入。</w:t>
      </w:r>
    </w:p>
    <w:p/>
    <w:p>
      <w:r>
        <w:t>已公开资料没有完整、可审计的AI收入比例，也没有逐项披露EML、连续波激光器、CPO和光路交换的绝对收入。研究中应保留这个缺口，而不是把管理层某个产品增速外推成全公司的收入结构。[1][2]</w:t>
      </w:r>
    </w:p>
    <w:p/>
    <w:p>
      <w:pPr>
        <w:pStyle w:val="Heading2"/>
      </w:pPr>
      <w:r>
        <w:t>4. 行业地位</w:t>
      </w:r>
    </w:p>
    <w:p/>
    <w:p>
      <w:r>
        <w:t>Lumentum处在高速光连接的关键供给环节。它同时具备高性能激光芯片、较复杂的光学组件，以及完整模块和交换产品的能力，位置比单纯组装模块更靠近上游技术与制造环节。</w:t>
      </w:r>
    </w:p>
    <w:p/>
    <w:p>
      <w:r>
        <w:t>证据来自实际产品，而不只是公司自称领先：第四季度100G和200G EML出货创新高，200G EML已经占EML收入超过25%；200G每通道连续波光源销售扩展至多个模块客户；1.6T模块开始初始出货。[2]</w:t>
      </w:r>
    </w:p>
    <w:p/>
    <w:p>
      <w:r>
        <w:t>但行业地位不等于全面垄断。不同速率、距离、功耗、成本与封装路线可能选用不同产品。公司在一类高端光源中有优势，不代表所有光连接都必须使用它的产品，也不代表能把整个光通信市场增长全部转化为自身收入。</w:t>
      </w:r>
    </w:p>
    <w:p/>
    <w:p>
      <w:r>
        <w:t>对它的行业判断应具体到“哪种激光器、哪个客户、哪代产品、能交付多少”，而非只看整体排名。</w:t>
      </w:r>
    </w:p>
    <w:p/>
    <w:p>
      <w:pPr>
        <w:pStyle w:val="Heading2"/>
      </w:pPr>
      <w:r>
        <w:t>5. 核心竞争力</w:t>
      </w:r>
    </w:p>
    <w:p/>
    <w:p>
      <w:r>
        <w:t>一是磷化铟制造与工艺积累。磷化铟，简称InP，是其多种高性能激光器的关键材料。性能参数只是起点，真正稀缺的是稳定、可重复地制造合格产品。</w:t>
      </w:r>
    </w:p>
    <w:p/>
    <w:p>
      <w:r>
        <w:t>二是长期可靠性与客户认证。数据中心不会只因为某个器件在展会上跑得快就大规模采购。客户还要验证寿命、温度、功耗、故障率和批次一致性。已进入客户平台、且通过量产验证的产品，有一定转换成本。</w:t>
      </w:r>
    </w:p>
    <w:p/>
    <w:p>
      <w:r>
        <w:t>三是从器件到模块的协同。公司在1.6T模块中开始使用内部连续波光源，有机会改善供货安全与成本；但只有良率和成本真正改善，内部供货才创造价值，不能把“自产”本身当作利润保证。</w:t>
      </w:r>
    </w:p>
    <w:p/>
    <w:p>
      <w:r>
        <w:t>四是网络与光学交换经验。波长选择和微机电系统方面的积累，能够迁移到光路交换产品。不过，新市场仍要重新证明部署价值和规模生产能力。</w:t>
      </w:r>
    </w:p>
    <w:p/>
    <w:p>
      <w:r>
        <w:t>这些优势共同形成制造壁垒，但并非不可侵蚀。竞争对手扩产、客户双供、技术路线变化，都可能把今天的短缺利润拉回更正常水平。[4][5]</w:t>
      </w:r>
    </w:p>
    <w:p/>
    <w:p>
      <w:pPr>
        <w:pStyle w:val="Heading2"/>
      </w:pPr>
      <w:r>
        <w:t>6. 主要竞争对手</w:t>
      </w:r>
    </w:p>
    <w:p/>
    <w:p>
      <w:r>
        <w:t>最直接的上市参照是Coherent，代码COHR。它同样覆盖EML、连续波光源、光模块及多种光子产品，并拥有更广的材料和工业业务。Coherent公开展示的200G EML、400mW连续波激光器及400G每通道路线，说明Lumentum面对的是具备工艺、资本和客户资源的竞争者。[6]</w:t>
      </w:r>
    </w:p>
    <w:p/>
    <w:p>
      <w:r>
        <w:t>第二类竞争来自其他光模块和光器件厂商。模块层面的成本、封装能力和客户关系，与上游激光芯片的竞争维度并不完全相同。某家企业可能在一种器件上采购Lumentum，却在完整模块上与它竞争。这种关系使垂直整合既有成本优势，也存在客户关系摩擦。</w:t>
      </w:r>
    </w:p>
    <w:p/>
    <w:p>
      <w:r>
        <w:t>第三类是替代架构。硅光会改变光源与调制器的分工，短距离连接还可能使用其他光源或继续使用铜连接。替代不必然让公司失去全部价值，但可能改变每个端口需要多少颗器件、哪种器件以及单价。</w:t>
      </w:r>
    </w:p>
    <w:p/>
    <w:p>
      <w:r>
        <w:t>AEHR不能放在同一竞争名单中。它主要提供测试和老化设备，受益于客户的设备采购与测试需求；Lumentum主要通过光子产品出货赚钱。二者可以处于同一产业链，但商业模式、订单波动和估值方法不同。[7]</w:t>
      </w:r>
    </w:p>
    <w:p/>
    <w:p>
      <w:pPr>
        <w:pStyle w:val="Heading2"/>
      </w:pPr>
      <w:r>
        <w:t>7. 未来12–24个月增长逻辑</w:t>
      </w:r>
    </w:p>
    <w:p/>
    <w:p>
      <w:r>
        <w:t>第一条是200G EML与1.6T升级。EML把发光与调制整合在芯片上，用于高速光模块。端口升级可能提升高端器件需求和产品组合，但必须核验单价、数量、良率，不能只数“速率翻倍”。</w:t>
      </w:r>
    </w:p>
    <w:p/>
    <w:p>
      <w:r>
        <w:t>第二条是数据中心互联。第四季度窄线宽激光器收入同比增长超过130%，泵浦激光器增长80%。这反映数据中心之间、园区之间的连接也在扩张，公司的增长并不限于机架内新架构。[2]</w:t>
      </w:r>
    </w:p>
    <w:p/>
    <w:p>
      <w:r>
        <w:t>第三条是完整模块放量。1.6T已开始初始出货，接下来要验证客户数、批量规模、内部光源使用和模块利润。模块收入增长而利润恶化，不是同等质量的增长。</w:t>
      </w:r>
    </w:p>
    <w:p/>
    <w:p>
      <w:r>
        <w:t>第四条是光路交换，即OCS。它是在光学层面重新连接通信路径的系统，不等于激光芯片。公司已披露多年、多十亿美元协议；2027年超过10亿美元年化运行收入的目标，仍须逐季验证，不能直接当成某个完整财年的收入。</w:t>
      </w:r>
    </w:p>
    <w:p/>
    <w:p>
      <w:r>
        <w:t>第五条是共封装光学，即CPO，以及外置激光光源。第四季度已有超高功率激光器出货，但“2026年末形成有意义收入”仍是当时的前瞻节点；2027年的机会取决于客户系统部署。更远的机架内互联和近封装光学，不能提前当作成熟收入。[2][4]</w:t>
      </w:r>
    </w:p>
    <w:p/>
    <w:p>
      <w:r>
        <w:t>产能时间表是共同约束。Greensboro新厂预计2028年中爬坡，处在本研究窗口的后段。短期收入必须主要靠已有产线和较早投产的扩建交付。[8]</w:t>
      </w:r>
    </w:p>
    <w:p/>
    <w:p>
      <w:pPr>
        <w:pStyle w:val="Heading2"/>
      </w:pPr>
      <w:r>
        <w:t>8. 核心财务指标</w:t>
      </w:r>
    </w:p>
    <w:p/>
    <w:p>
      <w:r>
        <w:t>以下为公司披露口径，单位亿美元；每股收益另以美元列示。年度截至2026年6月27日，季度为该年度第四季度。</w:t>
      </w:r>
    </w:p>
    <w:p/>
    <w:p>
      <w:r>
        <w:t>全年：</w:t>
      </w:r>
    </w:p>
    <w:p>
      <w:r>
        <w:t>- 营业收入30.140，同比增加83.2%</w:t>
      </w:r>
    </w:p>
    <w:p>
      <w:r>
        <w:t>- 按美国会计准则营业利润5.248，上年为营业亏损1.801</w:t>
      </w:r>
    </w:p>
    <w:p>
      <w:r>
        <w:t>- 按美国会计准则毛利率41.7%，营业利润率17.4%</w:t>
      </w:r>
    </w:p>
    <w:p>
      <w:r>
        <w:t>- 按美国会计准则净亏损69.351</w:t>
      </w:r>
    </w:p>
    <w:p>
      <w:r>
        <w:t>- 调整后净利润7.823，调整后每股收益8.67美元</w:t>
      </w:r>
    </w:p>
    <w:p>
      <w:r>
        <w:t>- 经营活动现金净流入7.514</w:t>
      </w:r>
    </w:p>
    <w:p/>
    <w:p>
      <w:r>
        <w:t>第四季度：</w:t>
      </w:r>
    </w:p>
    <w:p>
      <w:r>
        <w:t>- 营业收入10.063，环比增长24.5%，同比增长109.3%</w:t>
      </w:r>
    </w:p>
    <w:p>
      <w:r>
        <w:t>- 按美国会计准则毛利率47.4%，营业利润率27.8%</w:t>
      </w:r>
    </w:p>
    <w:p>
      <w:r>
        <w:t>- 调整后毛利率50.4%，营业利润率36.6%</w:t>
      </w:r>
    </w:p>
    <w:p>
      <w:r>
        <w:t>- 调整后净利润3.263，调整后每股收益3.23美元</w:t>
      </w:r>
    </w:p>
    <w:p/>
    <w:p>
      <w:r>
        <w:t>利润质量要分三层看。第一层，主营业务确实改善，营业利润已转正且最新季度利润率提高。第二层，全年77.566亿美元非现金债务清偿损失，主要来自可转债交换中的超本金转换价值，导致净利润看起来极差；不能据此断言产品业务亏掉了几十亿美元。第三层，调整利润仍剔除了股权薪酬和收购摊销等项目，其中一些会持续发生，不能把调整后结果当作股东最终可拿走的现金。[1][2][3]</w:t>
      </w:r>
    </w:p>
    <w:p/>
    <w:p>
      <w:r>
        <w:t>资产负债表也要看融资来源。期末现金及短期投资27.384亿美元，账面有息债务约16.374亿美元，简单净现金约11.010亿美元；现金增长包含NVIDIA股权投资。应收5.203亿美元、存货6.916亿美元，营运资产负债全年净占用现金2.920亿美元。以期末应收除以第四季度收入粗算，回款天数约47天，与上年同类算法接近，但这只是快速核对，不能代替平均应收及客户账龄分析。[1][3]</w:t>
      </w:r>
    </w:p>
    <w:p/>
    <w:p>
      <w:pPr>
        <w:pStyle w:val="Heading2"/>
      </w:pPr>
      <w:r>
        <w:t>9. 资本开支 自由现金流 投入资本回报率</w:t>
      </w:r>
    </w:p>
    <w:p/>
    <w:p>
      <w:r>
        <w:t>资本开支：全年现金购置固定资产4.513亿美元，约收入的15.0%，上年为2.310亿美元。扩产会先增加现金支出，收入通常要等设备安装、工艺转移、认证和良率提升后才逐步出现。</w:t>
      </w:r>
    </w:p>
    <w:p/>
    <w:p>
      <w:r>
        <w:t>自由现金流：采用“经营活动现金流−现金购置固定资产”这一明确口径，7.514−4.513=3.001亿美元，约占收入10.0%。它约为调整后净利润的38%，说明公司已经产现金，但仍处于投入占用较重的阶段。这不是扣除所有并购、融资和股权交易后的现金余额变动。[3]</w:t>
      </w:r>
    </w:p>
    <w:p/>
    <w:p>
      <w:r>
        <w:t>投入资本回报率没有直接照搬供应商字段，而作透明近似。分子用按美国会计准则营业利润5.248亿美元，假设正常税率21%，得到税后经营利润4.146亿美元；不使用受到特殊损益影响的实际有效税率。</w:t>
      </w:r>
    </w:p>
    <w:p/>
    <w:p>
      <w:r>
        <w:t>分母定义为“股东权益＋账面有息债务−现金及短期投资”，保留商誉、排除经营租赁债务，并用两个年末值取平均。上年投入资本28.308亿美元，本年35.429亿美元，平均31.869亿美元，近似回报率13.0%。</w:t>
      </w:r>
    </w:p>
    <w:p/>
    <w:p>
      <w:r>
        <w:t>必须看到敏感性：若不从投入资本剔除现金，同一分子得到约8.3%；若税率假设改为16.5%，扣现金口径约13.8%。这些都是研究计算，不是公司披露的精确回报率。新厂尚未成熟，历史整体回报也不能证明新厂未来回报。更应持续观察新增收入、新增经营利润和新增资本之间的关系。</w:t>
      </w:r>
    </w:p>
    <w:p/>
    <w:p>
      <w:pPr>
        <w:pStyle w:val="Heading2"/>
      </w:pPr>
      <w:r>
        <w:t>10. 估值框架</w:t>
      </w:r>
    </w:p>
    <w:p/>
    <w:p>
      <w:r>
        <w:t>1045.78美元收盘价对应普通股市值938.06亿美元。以2026财年收入30.14亿美元计算，市销率约31.1倍；以调整后每股收益8.67美元计算，历史调整后市盈率约120.6倍；以自由现金流3.001亿美元计算，普通股口径自由现金流收益率约0.32%。[1][2][9]</w:t>
      </w:r>
    </w:p>
    <w:p/>
    <w:p>
      <w:r>
        <w:t>三个数字各有局限。历史销售额低估了快速增长公司的当前规模，但销售额本身没有扣除制造成本与扩产支出；调整每股收益排除了一些经济成本，且历史加权股数与未来股数不同；扩产期自由现金流可能偏低，但也正好提醒研究者，账面增长尚未全部变成现金。</w:t>
      </w:r>
    </w:p>
    <w:p/>
    <w:p>
      <w:r>
        <w:t>公司下一季度调整后每股收益指引为4.05至4.35美元。若机械地把中点4.20美元乘四，得到年化16.80美元，对应约62.2倍价格倍数。这个算法只是敏感度演示，不是全年指引，也不是未来四季一致预期。</w:t>
      </w:r>
    </w:p>
    <w:p/>
    <w:p>
      <w:r>
        <w:t>股本不能混用：期末普通股8860万，8月14日8970万，另有约290万股可一比一转换的优先股；第四季度调整后每股收益采用1.011亿稀释股，下季度指引采用1.020亿股。亏损时美国会计准则的8460万股加权分母受反稀释规则影响，不能拿来当未来盈利的股数。[2][3]</w:t>
      </w:r>
    </w:p>
    <w:p/>
    <w:p>
      <w:r>
        <w:t>COHR同日普通股市值约625.08亿美元，全年报告收入约71.18亿美元，粗略市销率8.8倍。但其业务组合、出售业务影响、增长及资本开支不同，这只是溢价比较，不是直接相对价值结论。LITE真正需要的估值方法，是对未来收入、持续利润率、必要资本开支和稀释做情景，再检验当前价格要求了多少成功。[9][10]</w:t>
      </w:r>
    </w:p>
    <w:p/>
    <w:p>
      <w:pPr>
        <w:pStyle w:val="Heading2"/>
      </w:pPr>
      <w:r>
        <w:t>11. 牛 基准 熊三情景</w:t>
      </w:r>
    </w:p>
    <w:p/>
    <w:p>
      <w:r>
        <w:t>以下是研究情景，不是公司指引，不给伪精确目标价，也不赋予未经模型支持的概率。</w:t>
      </w:r>
    </w:p>
    <w:p/>
    <w:p>
      <w:r>
        <w:t>牛情景：200G EML和1.6T出货持续扩大，产品组合与良率同时改善；光路交换和CPO超高功率激光器按期叠加，客户愿意通过长期协议保障供货。扩产后的增量利润超过资本与营运资金占用，自由现金流增速逐步接近或超过调整利润增速。在这种情况下，较高估值可以由每股盈利增长逐年消化。需要看到的证据是收入、营业利润、现金回收和稀释后每股结果共同改善。</w:t>
      </w:r>
    </w:p>
    <w:p/>
    <w:p>
      <w:r>
        <w:t>基准情景：EML、1.6T和互联业务保持增长，但新架构分阶段导入，客户认证和产能爬坡不是直线；公司继续投资，现金转换改善慢于利润。营业规模继续扩大，但行业从极端短缺走向较正常供给，估值倍数下降。股票是否有回报取决于每股盈利增长能否跑赢估值回落，公司成长本身不保证股价同步上涨。</w:t>
      </w:r>
    </w:p>
    <w:p/>
    <w:p>
      <w:r>
        <w:t>熊情景：客户短缺备货或提前下单随后被消化，新产能、客户认证或终端系统延期；产品组合、价格或竞争不利，CPO与光路交换收入不及原计划。工厂固定成本和库存占用压低现金流，稀释使每股改善更弱。高倍数股票可能同时经历盈利预测下调与估值压缩。</w:t>
      </w:r>
    </w:p>
    <w:p/>
    <w:p>
      <w:r>
        <w:t>三情景的核心分歧不是“AI是否存在”，而是光学含量增加能给Lumentum带来多少可交付收入、持续利润和每股现金。</w:t>
      </w:r>
    </w:p>
    <w:p/>
    <w:p>
      <w:pPr>
        <w:pStyle w:val="Heading2"/>
      </w:pPr>
      <w:r>
        <w:t>12. 核心催化剂</w:t>
      </w:r>
    </w:p>
    <w:p/>
    <w:p>
      <w:r>
        <w:t>近期最清楚的业绩门槛，是公司8月11日给出的2027财年第一季度指引：收入12.25亿至12.75亿美元，调整营业利润率39.5%至40.5%，调整后每股收益4.05至4.35美元。是否兑现，以及下一季给出的规模和利润率，比单次展会演示更重要。[1]</w:t>
      </w:r>
    </w:p>
    <w:p/>
    <w:p>
      <w:r>
        <w:t>产品催化剂包括1.6T从初始出货进入更广泛批量交付；200G EML在既有客户中提升占比；CPO光源从出货增长转为可明确识别的收入贡献；光路交换协议转化为实际部署。</w:t>
      </w:r>
    </w:p>
    <w:p/>
    <w:p>
      <w:r>
        <w:t>制造催化剂包括新线客户认证、良率提升、可售产能释放，而不是只有宣布投资金额。资本市场也可能对重大客户协议、指引上调和供应链政策变化快速重新定价。</w:t>
      </w:r>
    </w:p>
    <w:p/>
    <w:p>
      <w:r>
        <w:t>10月12至15日OCP大会是已公布的交流节点，议题包括外部激光光源与光路交换，但会议本身不等于新订单或收入。下一份财报的正式发布日期若未核实，应等待公司公告，不把预计时间写成已确定日程。[11]</w:t>
      </w:r>
    </w:p>
    <w:p/>
    <w:p>
      <w:pPr>
        <w:pStyle w:val="Heading2"/>
      </w:pPr>
      <w:r>
        <w:t>13. 最大风险</w:t>
      </w:r>
    </w:p>
    <w:p/>
    <w:p>
      <w:r>
        <w:t>第一是高估值与执行风险叠加。当前价格不仅要求行业增长，还要求Lumentum扩大份额、保持利润率并改善现金回报。一项延误未必伤害长期行业，却可能影响股票估值。</w:t>
      </w:r>
    </w:p>
    <w:p/>
    <w:p>
      <w:r>
        <w:t>第二是客户集中。2026财年前两大终端客户分别占收入26.6%和15.0%。公司未实名，不能自行指认为某家云厂商。大型客户有采购谈判力，也可能通过多供应商、内部设计或系统架构调整重新分配价值。[3]</w:t>
      </w:r>
    </w:p>
    <w:p/>
    <w:p>
      <w:r>
        <w:t>第三是扩产和供需周期。短缺时投资是合理反应，但若多家厂商一起扩产，投产时的价格和需求可能与决策时不同。工厂资本回收期比一轮股票行情长。</w:t>
      </w:r>
    </w:p>
    <w:p/>
    <w:p>
      <w:r>
        <w:t>第四是技术组合风险。硅光、EML、不同光源与封装架构会重新划分价值。拥有多个路线可以减轻风险，却不能保证每一条路线的利润率相同。</w:t>
      </w:r>
    </w:p>
    <w:p/>
    <w:p>
      <w:r>
        <w:t>第五是地缘、材料、供应链与股本。国际制造布局和少数供应商依赖带来中断风险；融资可以缓解现金压力，却可能以股东稀释为代价。不能只看净现金增加就认为所有风险下降。[3]</w:t>
      </w:r>
    </w:p>
    <w:p/>
    <w:p>
      <w:pPr>
        <w:pStyle w:val="Heading2"/>
      </w:pPr>
      <w:r>
        <w:t>14. 当前市场争议</w:t>
      </w:r>
    </w:p>
    <w:p/>
    <w:p>
      <w:r>
        <w:t>争议一：高端InP光源的短缺到底是长期壁垒，还是扩产前的阶段性红利？多方证据是实际出货、客户协议与利润率上升；空方担忧是扩产后价格正常化、客户重复预订以及技术替代。应比较真实终端部署与供应商产能，而非把每一家预测的需求全部相加。</w:t>
      </w:r>
    </w:p>
    <w:p/>
    <w:p>
      <w:r>
        <w:t>争议二：CPO会增加Lumentum价值，还是压缩现有可插拔模块机会？它既卖模块，也提供新架构光源，所以影响不是简单的“取代即利空”或“CPO即全利好”。决定结果的是公司在新架构中每套系统的供货内容与利润，以及旧产品下降的速度。</w:t>
      </w:r>
    </w:p>
    <w:p/>
    <w:p>
      <w:r>
        <w:t>争议三：巨额会计亏损应如何理解？把它等同经营失败不正确；把它全部忽略也不完整。营业利润更能说明当前产品经营，现金流显示投入压力，稀释后股数说明未来利润由多少份股权分享。</w:t>
      </w:r>
    </w:p>
    <w:p/>
    <w:p>
      <w:r>
        <w:t>争议四：近期美国对中国光模块限制的预期能带来多大转单？截至本研究截点，相关长桥新闻包含分析师判断与市场预期，本文不将其当已实施规则。即使政策变化，能否承接订单仍受认证和产能约束。[12]</w:t>
      </w:r>
    </w:p>
    <w:p/>
    <w:p>
      <w:pPr>
        <w:pStyle w:val="Heading2"/>
      </w:pPr>
      <w:r>
        <w:t>15. 股性特征</w:t>
      </w:r>
    </w:p>
    <w:p/>
    <w:p>
      <w:r>
        <w:t>LITE具有高成长、高预期、高波动叠加的特征，而且这种判断有价格数据支持。以截至10月1日的252个日收益计算，实现波动率年化约97.8%；最近60日约97.7%。这是历史实现波动，不是期权隐含波动，更不是对未来波动的保证。[9]</w:t>
      </w:r>
    </w:p>
    <w:p/>
    <w:p>
      <w:r>
        <w:t>14日平均真实波幅约67.15美元，相当于当前价格的6.42%。它不仅反映一天收涨收跌，还捕捉日内高低和跳空。对这种股票，用几美元的变化解释“趋势反转”通常缺乏尺度感。</w:t>
      </w:r>
    </w:p>
    <w:p/>
    <w:p>
      <w:r>
        <w:t>市场会围绕业绩、客户协议和产业预期快速调整，但消息方向与下一日价格并非一一对应。2026年3月2日NVIDIA协议公告当天上涨11.75%，翌日又下跌11.34%。研究者要把公司信息、已反映的预期和价格行为分开。</w:t>
      </w:r>
    </w:p>
    <w:p/>
    <w:p>
      <w:r>
        <w:t>它更接近基本面快速变化中的高弹性股票，不适合只因“过去跌了很多”便称便宜，也不宜只因“最近很强”就降低财务验证标准。</w:t>
      </w:r>
    </w:p>
    <w:p/>
    <w:p>
      <w:pPr>
        <w:pStyle w:val="Heading2"/>
      </w:pPr>
      <w:r>
        <w:t>16. 与板块相关性</w:t>
      </w:r>
    </w:p>
    <w:p/>
    <w:p>
      <w:r>
        <w:t>用长桥前复权、常规交易时段日K，统一取最近252个共同交易日的日简单收益，计算皮尔逊相关系数：</w:t>
      </w:r>
    </w:p>
    <w:p>
      <w:r>
        <w:t>- 与COHR约0.79</w:t>
      </w:r>
    </w:p>
    <w:p>
      <w:r>
        <w:t>- 与半导体ETF SOXX约0.59</w:t>
      </w:r>
    </w:p>
    <w:p>
      <w:r>
        <w:t>- 与纳斯达克100 ETF QQQ约0.47</w:t>
      </w:r>
    </w:p>
    <w:p/>
    <w:p>
      <w:r>
        <w:t>最近60日对应约0.88、0.79、0.59。短窗口相关性明显更高，说明近期共同行业交易较强，但不能把这个关系当作永久属性。[9]</w:t>
      </w:r>
    </w:p>
    <w:p/>
    <w:p>
      <w:r>
        <w:t>经济解释是：与COHR共享高速光连接、光源供需及部分客户资本开支因素；与半导体板块共享AI资本开支和风险偏好；同时保留自己的产品、客户和工厂执行风险。</w:t>
      </w:r>
    </w:p>
    <w:p/>
    <w:p>
      <w:r>
        <w:t>因此，同时持有多只光通信股票，不必然获得充分分散；它们可能在同一催化剂下共同波动。另一方面，相关性不等于因果，不应据此断言某只股票必然跟随另一只。以上统计只描述指定窗口。</w:t>
      </w:r>
    </w:p>
    <w:p/>
    <w:p>
      <w:pPr>
        <w:pStyle w:val="Heading2"/>
      </w:pPr>
      <w:r>
        <w:t>17. 宏观敏感因素</w:t>
      </w:r>
    </w:p>
    <w:p/>
    <w:p>
      <w:r>
        <w:t>最直接的是大型云和AI客户的资本开支节奏。客户总预算不等于Lumentum当季收入，还要经过网络架构选择、光学含量、设备生产与供应商分配。若客户把预算从网络建设转向其他环节，公司感受到的需求可能不同。</w:t>
      </w:r>
    </w:p>
    <w:p/>
    <w:p>
      <w:r>
        <w:t>第二是利率和风险偏好。市场若给予远期利润较高折现率，高倍数成长股的估值通常更敏感；公司账面有现金，并不能让股价免受估值压缩。</w:t>
      </w:r>
    </w:p>
    <w:p/>
    <w:p>
      <w:r>
        <w:t>第三是贸易与产业政策。出口限制、材料供应、关税或供应链本地化可能改变客户和生产布局。政策既可能提高美国供应商机会，也可能增加成本或削弱某些客户需求，不能只取其中一个方向。</w:t>
      </w:r>
    </w:p>
    <w:p/>
    <w:p>
      <w:r>
        <w:t>第四是电信和工业资本开支周期。虽然AI增长更突出，旧业务并未消失。工业制造和电信客户减预算，可能抵消部分云增长。第五是汇率与跨国制造成本，影响毛利与营运资金，但应基于具体披露量化，不假设固定敏感度。[3]</w:t>
      </w:r>
    </w:p>
    <w:p/>
    <w:p>
      <w:pPr>
        <w:pStyle w:val="Heading2"/>
      </w:pPr>
      <w:r>
        <w:t>18. 历史典型走势</w:t>
      </w:r>
    </w:p>
    <w:p/>
    <w:p>
      <w:r>
        <w:t>2025年初至春季：1月22日收100.38美元，4月4日收49.56美元，收盘峰谷回撤约50.6%。这个例子说明，后来成为AI热门标的，并不意味着其持有路径一直平稳。这里报告价格事实，不把整段回撤未经验证地归因于单一事件。</w:t>
      </w:r>
    </w:p>
    <w:p/>
    <w:p>
      <w:r>
        <w:t>2026年3月：NVIDIA战略协议公告当日上涨11.75%，次日下跌11.34%。重大利好可能触发重新定价，也可能紧接着出现获利回吐和风险重估；仅凭公告标题无法预测短线方向。</w:t>
      </w:r>
    </w:p>
    <w:p/>
    <w:p>
      <w:r>
        <w:t>2026年5月至7月：5月11日收1053.09美元，7月29日收602.35美元，回撤约42.8%。这发生在公司年度收入高速增长的阶段，提醒研究者，业绩成长与估值波动可以同时存在。</w:t>
      </w:r>
    </w:p>
    <w:p/>
    <w:p>
      <w:r>
        <w:t>2026年8月：8月11日公司发布第四季度业绩；8月12日收932.47美元，上涨13.63%，成交约1177万股，是结果与指引被集中交易的一个样本。</w:t>
      </w:r>
    </w:p>
    <w:p/>
    <w:p>
      <w:r>
        <w:t>截至10月1日，相对2025年末368.59美元，年内涨幅约183.7%。这是一轮大涨，但不能抹去中途的深度回撤。所有价格均来自相同日K口径。[9]</w:t>
      </w:r>
    </w:p>
    <w:p/>
    <w:p>
      <w:pPr>
        <w:pStyle w:val="Heading2"/>
      </w:pPr>
      <w:r>
        <w:t>19. 当前技术结构</w:t>
      </w:r>
    </w:p>
    <w:p/>
    <w:p>
      <w:r>
        <w:t>截至2026年10月1日，收盘1045.78美元，高于20日均线929.82、50日均线873.99和200日均线741.67；三条均线均较五个交易日前上升。趋势结构偏强，且10月1日754.66万股成交量为此前20日均量的1.64倍。[9]</w:t>
      </w:r>
    </w:p>
    <w:p/>
    <w:p>
      <w:r>
        <w:t>但要精确区分“接近前高”和“完成突破”。最近252个交易日最高盘中价为5月12日1085.68美元；10月1日盘中高1078.04美元，仍未超过它。当前更合适的描述是：反弹重返历史压力区附近，尚需观察能否越过并维持，而非已经确认新一轮无阻力上涨。</w:t>
      </w:r>
    </w:p>
    <w:p/>
    <w:p>
      <w:r>
        <w:t>相对强弱指标14日值约63.7，显示动量较强，但未达到常用70阈值；单一阈值不构成买卖信号。上方先观察1078至1086美元附近，是否出现有持续性的价格与成交确认。若冲高后反复回到原区间，应重新评估短期突破质量。</w:t>
      </w:r>
    </w:p>
    <w:p/>
    <w:p>
      <w:r>
        <w:t>下方可观察966至980美元这一最近交易日形成的区间，再看约930美元的20日均线和874美元的50日均线。它们只是随时间变化的图表参照，不是保证有效的支撑，更不是公司的估值底。平均真实波幅约67美元，分析必须给正常波动留尺度。技术走弱可以触发复核，不能代替基本面证伪。</w:t>
      </w:r>
    </w:p>
    <w:p/>
    <w:p>
      <w:pPr>
        <w:pStyle w:val="Heading2"/>
      </w:pPr>
      <w:r>
        <w:t>20. Thesis验证清单</w:t>
      </w:r>
    </w:p>
    <w:p/>
    <w:p>
      <w:r>
        <w:t>每季先按五个问题验证，而不是只看股价。</w:t>
      </w:r>
    </w:p>
    <w:p/>
    <w:p>
      <w:r>
        <w:t>一，已确认收入是否按更新后的指引增长？拆分组件与系统；询问数量、价格和产品组合分别贡献多少。高端产品份额增加是否伴随真实交付，而非只有更大的市场空间表述。</w:t>
      </w:r>
    </w:p>
    <w:p/>
    <w:p>
      <w:r>
        <w:t>二，制造进展是否变成利润？记录200G EML、1.6T、超高功率光源的新线认证、良率与客户批量节点。利润率改善能否由产品组合和效率解释，而不只是一次性费用变化。</w:t>
      </w:r>
    </w:p>
    <w:p/>
    <w:p>
      <w:r>
        <w:t>三，新机会是否跨过商业化门槛？CPO、外置光源和光路交换分别记录展示、设计导入、采购协议、出货、收入、回款，不把阶段合并。2027年年化运行目标与全年实际收入分开记录。</w:t>
      </w:r>
    </w:p>
    <w:p/>
    <w:p>
      <w:r>
        <w:t>四，增长是否带来现金？检查应收和库存相对销售的变化、经营现金流、资本开支与自由现金流。投资增加可以接受，但需要看到有日期、有客户、有产出证据的回报路径。</w:t>
      </w:r>
    </w:p>
    <w:p/>
    <w:p>
      <w:r>
        <w:t>五，每股结果是否跟上公司总量？同步记录普通股、可转优先股、可转债和薪酬稀释，核对调整后每股收益所用分母。总利润增长若长期被稀释抵消，股票的经济结果会与企业规模增长不同。</w:t>
      </w:r>
    </w:p>
    <w:p/>
    <w:p>
      <w:pPr>
        <w:pStyle w:val="Heading2"/>
      </w:pPr>
      <w:r>
        <w:t>21. 哪些情况意味着逻辑证伪</w:t>
      </w:r>
    </w:p>
    <w:p/>
    <w:p>
      <w:r>
        <w:t>基本面证伪应比“今天跌破均线”更严格，也比“长期AI会增长”更具体。</w:t>
      </w:r>
    </w:p>
    <w:p/>
    <w:p>
      <w:r>
        <w:t>若连续多个季度收入与利润低于公司更新后指引，同时应收、库存或订单延期恶化，就应重新审视需求质量，不能不断用“客户还在建设”解释。如果重要客户明确切换架构或供应商，导致核心光源不再进入下一代平台，这是竞争地位受损的直接证据。</w:t>
      </w:r>
    </w:p>
    <w:p/>
    <w:p>
      <w:r>
        <w:t>如果产能投放后良率、利用率和毛利率持续不达预期，资本开支高企而自由现金流长期不能改善，原先“制造稀缺性可以转成高回报”的论点就需要下调。若新架构放量多年后仍主要停留在演示、认证和订单话术，而无法形成可识别收入，远期估值依据也应缩减。</w:t>
      </w:r>
    </w:p>
    <w:p/>
    <w:p>
      <w:r>
        <w:t>另一个证伪方向是每股价值：公司收入增加，但持续融资、股权薪酬和转换稀释使每股盈利及现金回报没有相应增长。对股东而言，规模成功不自动等于投资成功。</w:t>
      </w:r>
    </w:p>
    <w:p/>
    <w:p>
      <w:r>
        <w:t>单季客户时间差、合理的扩产现金占用或股价调整，本身不必然证伪；应看证据是否连贯、是否改变原定可验证路径，并事先记录判断标准，避免事后不断移动目标。</w:t>
      </w:r>
    </w:p>
    <w:p/>
    <w:p>
      <w:pPr>
        <w:pStyle w:val="Heading2"/>
      </w:pPr>
      <w:r>
        <w:t>22. 最新动态</w:t>
      </w:r>
    </w:p>
    <w:p/>
    <w:p>
      <w:r>
        <w:t>2026年8月11日，公司公布最新完整季度：收入10.063亿美元、调整后每股收益3.23美元，并给出下季度收入12.25亿至12.75亿美元指引。200G EML、1.6T初始出货、CPO光源和光路交换是同次材料中最值得持续核验的经营信息。[1][2]</w:t>
      </w:r>
    </w:p>
    <w:p/>
    <w:p>
      <w:r>
        <w:t>2026年8月17日提交的年度报告进一步解释了巨额债务清偿损失、股本变化、现金流和客户集中度。这些信息会显著改变自动化估值页面的解读方式，尤其不能把负市盈率当成低估证据。[3]</w:t>
      </w:r>
    </w:p>
    <w:p/>
    <w:p>
      <w:r>
        <w:t>2026年10月1日，公司公布OCP全球峰会的演讲安排，会议在10月12至15日举行，内容包括CPO外部光源、VCSEL和光路交换。应把它记录为未来技术交流与客户沟通节点，而不是已经新增收入。[11]</w:t>
      </w:r>
    </w:p>
    <w:p/>
    <w:p>
      <w:r>
        <w:t>10月1日股票上涨7.67%，近期市场报道涉及美国光模块限制的预期和券商观点。相关政策内容在本文中仍按“尚需正式文件核验的市场催化”处理，不写成确定新增订单。[12]</w:t>
      </w:r>
    </w:p>
    <w:p/>
    <w:p>
      <w:r>
        <w:t>我目前对公司的理解</w:t>
      </w:r>
    </w:p>
    <w:p/>
    <w:p>
      <w:r>
        <w:t>Lumentum最重要的变化，是多年积累的光子技术开始进入AI基础设施的关键连接环节，而且已经转成可观的收入与营业利润。它已不是一个只能讲远期故事的公司。</w:t>
      </w:r>
    </w:p>
    <w:p/>
    <w:p>
      <w:r>
        <w:t>但接下来的问题更难：把更多钱投入工厂之后，能否持续交付客户需要的高端产品；新架构能否提供足够利润；扣掉资本开支和股权稀释后，每股能留下多少现金。</w:t>
      </w:r>
    </w:p>
    <w:p/>
    <w:p>
      <w:r>
        <w:t>企业层面的答案在改善。以今天的价格，股票层面的答案仍需要后续业绩继续证明。</w:t>
      </w:r>
    </w:p>
    <w:p/>
    <w:p>
      <w:r>
        <w:t>资料与计算说明</w:t>
      </w:r>
    </w:p>
    <w:p/>
    <w:p>
      <w:r>
        <w:t>[1] [Lumentum 2026年8月11日季度及全年业绩公告](https://investor.lumentum.com/financial-news-releases/news-details/2026/Lumentum-Announces-Fourth-Quarter-and-Full-Fiscal-Year-2026-Results/default.aspx)</w:t>
      </w:r>
    </w:p>
    <w:p>
      <w:r>
        <w:t>[2] [Lumentum 第四季度官方演示材料](https://s21.q4cdn.com/377324469/files/doc_financials/2026/q4/Q4-FY26-Earnings-Presentation_final.pdf)，2026-08-11，重点第3至8页</w:t>
      </w:r>
    </w:p>
    <w:p>
      <w:r>
        <w:t>[3] [Lumentum 2026财年年度报告](https://www.sec.gov/Archives/edgar/data/1633978/000162828026057358/lite-20260627.htm)，2026-08-17提交，期末2026-06-27；股数封面截至2026-08-14</w:t>
      </w:r>
    </w:p>
    <w:p>
      <w:r>
        <w:t>[4] [Lumentum OFC投资者材料](https://s21.q4cdn.com/377324469/files/doc_presentations/2026/2026-Lumentum-at-OFC_final.pdf)，2026-03-17；产品与产能目标按其发布日期理解</w:t>
      </w:r>
    </w:p>
    <w:p>
      <w:r>
        <w:t>[5] [Lumentum AI光器件与制造能力说明](https://www.lumentum.com/en/blog/backbone-ai-infrastructure-why-optical-components-will-define-next-era-data-centers)，2026-06-25；其中行业预测和制造目标为前瞻性内容</w:t>
      </w:r>
    </w:p>
    <w:p>
      <w:r>
        <w:t>[6] [Coherent InP产品官方公告](https://www.coherent.com/news/press-releases/coherent-demonstrates-inp-technology-innovation)，2026-03-17</w:t>
      </w:r>
    </w:p>
    <w:p>
      <w:r>
        <w:t>[7] [Aehr 2026财年年度报告](https://www.sec.gov/Archives/edgar/data/1040470/000165495426006919/aehr_10k.htm)，用于核验测试设备定位</w:t>
      </w:r>
    </w:p>
    <w:p>
      <w:r>
        <w:t>[8] [Greensboro工厂正式公告](https://investor.lumentum.com/financial-news-releases/news-details/2026/Lumentum-Announces-New-U-S--Manufacturing-Facility-to-Produce-Advanced-Lasers-for-the-Worlds-Largest-AI-Data-Centers/default.aspx)，2026-03-26，以此后发公告的2028年中爬坡替代早期材料中的2028年初</w:t>
      </w:r>
    </w:p>
    <w:p>
      <w:r>
        <w:t>[9] 长桥MCP报价、股本、估值与前复权常规时段日K，2026-10-02抓取。历史区间2025-01-02至2026-10-01；均线、回撤、14日相对强弱、真实波幅、日收益相关性和年化实现波动由同一组数据计算。公开回查：[LITE](https://longbridge.com/en/quote/LITE.US)、[COHR](https://longbridge.com/en/quote/COHR.US)；动态页面可能已更新</w:t>
      </w:r>
    </w:p>
    <w:p>
      <w:r>
        <w:t>[10] [Coherent 2026年8月12日年度业绩公告](https://www.sec.gov/Archives/edgar/data/820318/000119312526346860/d128030dex991.htm)，年度截至2026-06-30，收入包含出售业务在出售前的贡献，非统一剔除后的组合收入</w:t>
      </w:r>
    </w:p>
    <w:p>
      <w:r>
        <w:t>[11] [Lumentum OCP演讲安排](https://investor.lumentum.com/financial-news-releases/news-details/2026/Lumentum-Announces-Speaker-Lineup-at-2026-OCP-Global-Summit/default.aspx)，2026-10-01</w:t>
      </w:r>
    </w:p>
    <w:p>
      <w:r>
        <w:t>[12] [长桥相关市场报道](https://longbridge.com/news/300750670)，2026-10-02，包含分析师对潜在限制的判断</w:t>
      </w:r>
    </w:p>
    <w:p>
      <w:r>
        <w:t>[13] [NVIDIA与Lumentum战略协议](https://investor.lumentum.com/financial-news-releases/news-details/2026/NVIDIA-Announces-Strategic-Partnership-With-Lumentum-to-Develop-State-of-the-Art-Optics-Technology/default.aspx)，2026-03-02，非排他性采购安排及另行20亿美元投资</w:t>
      </w:r>
    </w:p>
    <w:p/>
    <w:p>
      <w:r>
        <w:t>供应商口径提醒：长桥部分标准化财务字段与公司按美国会计准则报表不同。例如2026财年标准化营业利润5.362亿美元、毛利率44.24%，以及自由现金流字段2.34525亿美元，不能与本文公司报表营业利润5.248亿美元、毛利率41.7%和明确公式算出的自由现金流3.001亿美元混用。本文财务判断优先原始报表。ROIC、三情景和技术观察均为研究计算或推论，不是公司承诺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页码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