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AAOI近期减持公告分析：高位集中兑现</w:t>
      </w:r>
    </w:p>
    <w:p>
      <w:pPr>
        <w:pStyle w:val="Caption"/>
      </w:pPr>
      <w:r>
        <w:t>原文日期 2026-06-12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r>
        <w:rPr>
          <w:b/>
          <w:i w:val="0"/>
        </w:rPr>
        <w:t>偏利空，但不是基本面爆雷级别的利空。</w:t>
      </w:r>
      <w:r>
        <w:rPr>
          <w:b w:val="0"/>
          <w:i w:val="0"/>
        </w:rPr>
        <w:t xml:space="preserve"> AAOI的问题不是某一个人减持，而是高位集中出现多名高管/董事拟售与实际售股，容易压制短线估值弹性。核心判断：基本面故事仍在，但筹码层面变脏，短线不适合无脑追高。</w:t>
      </w:r>
    </w:p>
    <w:p>
      <w:pPr>
        <w:pStyle w:val="Heading1"/>
      </w:pPr>
      <w:r>
        <w:rPr>
          <w:b w:val="0"/>
          <w:i w:val="0"/>
        </w:rPr>
        <w:t>一、6月12日集中Form 144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人员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职位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拟售股数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拟售市值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Chang Hung-Lun/Fred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北美总经理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34,000股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约587万美元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David C. Kuo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首席法务官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29,227股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约505万美元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Stefan J. Murry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CFO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33,000股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约572万美元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Thompson Lin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CEO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59,000股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约1,019万美元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Joshua Yeh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亚洲总经理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28,826股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约498万美元</w:t>
            </w:r>
          </w:p>
        </w:tc>
      </w:tr>
    </w:tbl>
    <w:p>
      <w:pPr>
        <w:spacing w:after="60"/>
      </w:pPr>
    </w:p>
    <w:p>
      <w:r>
        <w:rPr>
          <w:b/>
          <w:i w:val="0"/>
        </w:rPr>
        <w:t>合计：约184,053股，拟售金额约3,182万美元。</w:t>
      </w:r>
      <w:r>
        <w:rPr>
          <w:b w:val="0"/>
          <w:i w:val="0"/>
        </w:rPr>
        <w:t xml:space="preserve"> 约占流通总股本0.23%，不是毁灭性抛压，但因发生在高波动高估值阶段，短线情绪影响会被放大。</w:t>
      </w:r>
    </w:p>
    <w:p>
      <w:pPr>
        <w:pStyle w:val="Heading1"/>
      </w:pPr>
      <w:r>
        <w:rPr>
          <w:b w:val="0"/>
          <w:i w:val="0"/>
        </w:rPr>
        <w:t>二、此前已有实际卖出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日期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人员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股数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均价/金额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6/10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CFO Stefan Murry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4,000股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均价$171.45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6/04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Joshua Yeh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10,000股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约$204.75/$205.39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5/26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董事Cynthia DeLaney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56,575股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均价$189.23，约$1,070万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5/19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CEO Thompson Lin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58,000股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均价$173.26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三、如何解读</w:t>
      </w:r>
    </w:p>
    <w:p>
      <w:pPr>
        <w:pStyle w:val="Heading2"/>
      </w:pPr>
      <w:r>
        <w:rPr>
          <w:b w:val="0"/>
          <w:i w:val="0"/>
        </w:rPr>
        <w:t>判断：筹码利空 &gt; 基本面利空</w:t>
      </w:r>
    </w:p>
    <w:p>
      <w:r>
        <w:rPr>
          <w:b/>
          <w:i w:val="0"/>
        </w:rPr>
        <w:t>第一，</w:t>
      </w:r>
      <w:r>
        <w:rPr>
          <w:b w:val="0"/>
          <w:i w:val="0"/>
        </w:rPr>
        <w:t>这些股份多数来自PSU/股权激励归属，不完全等同于高管直接清仓看空。</w:t>
      </w:r>
    </w:p>
    <w:p>
      <w:r>
        <w:rPr>
          <w:b/>
          <w:i w:val="0"/>
        </w:rPr>
        <w:t>第二，</w:t>
      </w:r>
      <w:r>
        <w:rPr>
          <w:b w:val="0"/>
          <w:i w:val="0"/>
        </w:rPr>
        <w:t>减持发生在股价大涨之后，价格区间170-205美元，insiders在利用强趋势兑现部分收益。</w:t>
      </w:r>
    </w:p>
    <w:p>
      <w:r>
        <w:rPr>
          <w:b/>
          <w:i w:val="0"/>
        </w:rPr>
        <w:t>第三，</w:t>
      </w:r>
      <w:r>
        <w:rPr>
          <w:b w:val="0"/>
          <w:i w:val="0"/>
        </w:rPr>
        <w:t>CEO、CFO、法务、区域高管、董事短期内连续出现Form 144/Form 4，市场会解读为：公司内部人士认为当前价格已足够丰厚。</w:t>
      </w:r>
    </w:p>
    <w:p>
      <w:pPr>
        <w:pStyle w:val="Heading1"/>
      </w:pPr>
      <w:r>
        <w:rPr>
          <w:b w:val="0"/>
          <w:i w:val="0"/>
        </w:rPr>
        <w:t>四、对股价的影响</w:t>
      </w:r>
    </w:p>
    <w:p>
      <w:pPr>
        <w:pStyle w:val="Heading2"/>
      </w:pPr>
      <w:r>
        <w:rPr>
          <w:b w:val="0"/>
          <w:i w:val="0"/>
        </w:rPr>
        <w:t>短线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上方反弹容易遇到抛压，尤其是180-205美元区间已是多名insiders实际减持区域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市场会要求更强的订单或业绩证据，仅靠叙事不够</w:t>
      </w:r>
    </w:p>
    <w:p>
      <w:pPr>
        <w:pStyle w:val="Heading2"/>
      </w:pPr>
      <w:r>
        <w:rPr>
          <w:b w:val="0"/>
          <w:i w:val="0"/>
        </w:rPr>
        <w:t>中线</w:t>
      </w:r>
    </w:p>
    <w:p>
      <w:r>
        <w:rPr>
          <w:b w:val="0"/>
          <w:i w:val="0"/>
        </w:rPr>
        <w:t>逻辑核心不变（AI光模块需求 + 美国本土供应链 + 800G/1.6T爬坡），但从"纯叙事扩张交易"降级为"需要业绩验证的高波动交易票"。</w:t>
      </w:r>
    </w:p>
    <w:p>
      <w:pPr>
        <w:pStyle w:val="Heading1"/>
      </w:pPr>
      <w:r>
        <w:rPr>
          <w:b w:val="0"/>
          <w:i w:val="0"/>
        </w:rPr>
        <w:t>五、交易判断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用途</w:t>
            </w:r>
          </w:p>
        </w:tc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判断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底仓持有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不优先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短线交易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可以，但必须等回踩确认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追高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不建议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做T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可以，但要严格看量价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与LITE/COHR对比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AAOI弹性更高，但确定性更低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 w:val="0"/>
          <w:i w:val="0"/>
        </w:rPr>
        <w:t>关键观察位</w:t>
      </w:r>
    </w:p>
    <w:p>
      <w:r>
        <w:rPr>
          <w:b/>
          <w:i w:val="0"/>
        </w:rPr>
        <w:t>偏强：</w:t>
      </w:r>
      <w:r>
        <w:rPr>
          <w:b w:val="0"/>
          <w:i w:val="0"/>
        </w:rPr>
        <w:t>重新站回$180，且后续Form 4未扩大抛售</w:t>
      </w:r>
      <w:r>
        <w:br/>
      </w:r>
      <w:r>
        <w:rPr>
          <w:b w:val="0"/>
          <w:i w:val="0"/>
        </w:rPr>
        <w:br/>
      </w:r>
      <w:r>
        <w:rPr>
          <w:b/>
          <w:i w:val="0"/>
        </w:rPr>
        <w:t>偏弱：</w:t>
      </w:r>
      <w:r>
        <w:rPr>
          <w:b w:val="0"/>
          <w:i w:val="0"/>
        </w:rPr>
        <w:t>$160-165守不住+继续高管Form 4卖出</w:t>
      </w:r>
    </w:p>
    <w:p>
      <w:pPr>
        <w:pStyle w:val="Heading2"/>
      </w:pPr>
      <w:r>
        <w:rPr>
          <w:b w:val="0"/>
          <w:i w:val="0"/>
        </w:rPr>
        <w:t>真正改变判断的信号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信号</w:t>
            </w:r>
          </w:p>
        </w:tc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解读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后续Form 4显示6/12拟售全部成交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短线抛压确认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继续新增Form 144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内部人兑现意愿仍强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股价放量跌破关键支撑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资金撤离高弹性叙事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公司公布大客户/订单/业绩上修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可抵消减持利空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毛利率改善、800G/1.6T放量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基本面重新主导</w:t>
            </w:r>
          </w:p>
        </w:tc>
      </w:tr>
    </w:tbl>
    <w:p>
      <w:pPr>
        <w:spacing w:after="60"/>
      </w:pPr>
    </w:p>
    <w:p>
      <w:r>
        <w:rPr>
          <w:b/>
          <w:i w:val="0"/>
        </w:rPr>
        <w:t>最终判断：</w:t>
      </w:r>
      <w:r>
        <w:rPr>
          <w:b w:val="0"/>
          <w:i w:val="0"/>
        </w:rPr>
        <w:t xml:space="preserve"> AAOI近期减持属于高位集中兑现，不是简单噪音，但因规模只占0.23%，还不能定性为基本面崩坏。它更像是提醒：当前价格已进入内部人愿意大量兑现的区域，短线交易要尊重筹码压力。AAOI只适合小仓位弹性票，不适合替代LITE/COHR做光互联核心仓。当前位置不要追，等回踩、缩量、重新放量上攻再考虑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0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aaoi-insider-selling-analysi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AAOI近期减持公告分析：高位集中兑现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