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AAOI参与笔记：可以做，但不能当核心重仓</w:t>
      </w:r>
    </w:p>
    <w:p>
      <w:pPr>
        <w:pStyle w:val="Caption"/>
      </w:pPr>
      <w:r>
        <w:t>原文日期 2026-06-12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/>
          <w:i w:val="0"/>
        </w:rPr>
        <w:t>AAOI不是光模块龙头老大，而是美股AI光互连里"弹性最大、波动最大、兑现压力也最大"的订单驱动型标的。</w:t>
      </w:r>
    </w:p>
    <w:p>
      <w:r>
        <w:rPr>
          <w:b w:val="0"/>
          <w:i w:val="0"/>
        </w:rPr>
        <w:t>它适合放在组合里的弹性仓/做T仓/事件验证仓，不适合作为光互连核心底仓。核心底仓更适合LITE、COHR、CRDO、TSEM、GLW、AVGO这类基本面更稳、产业位置更厚的公司。</w:t>
      </w:r>
    </w:p>
    <w:p>
      <w:pPr>
        <w:pStyle w:val="Heading1"/>
      </w:pPr>
      <w:r>
        <w:rPr>
          <w:b w:val="0"/>
          <w:i w:val="0"/>
        </w:rPr>
        <w:t>一、标的核心逻辑</w:t>
      </w:r>
    </w:p>
    <w:p>
      <w:r>
        <w:rPr>
          <w:b w:val="0"/>
          <w:i w:val="0"/>
        </w:rPr>
        <w:t>AAOI的核心不是普通光模块，而是：</w:t>
      </w:r>
      <w:r>
        <w:rPr>
          <w:b/>
          <w:i w:val="0"/>
        </w:rPr>
        <w:t>800G/1.6T光模块 + 自有激光器制造 + 美国本土扩产 + hyperscaler大客户订单。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指标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数据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Q1 2026收入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1.511亿美元，数据中心收入8140万（+154%）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净利润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净亏损1430万美元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毛利率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29.1%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订单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首个1.6T批量订单，金额超2亿美元，Q3初出货，Q4完成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产能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Houston扩建至90万平方英尺，月产70万只800G/1.6T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融资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最高6亿美元ATM增发计划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二、正面逻辑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正面因素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800G/1.6T进入订单兑现期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首个1.6T批量订单超2亿美元，Q3出货Q4完成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美国本土制造叙事强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获德州半导体创新基金2085万美元补助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扩产动作真实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计划到2027年月产70万只收发器，激光器产能扩大350%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自有激光器制造能力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从激光器、组件到收发器有一定垂直整合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AI数据中心光互连主线强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板块β强时，AAOI弹性最大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三、最大风险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风险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具体表现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估值过高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市值~131亿美元，EPS仍为负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融资稀释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6亿美元ATM增发计划，高位有卖股动力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现金流压力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Q1经营现金流净流出8535万美元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客户集中度极高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前十大客户贡献98%收入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毛利率还没改善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29.1%，低于去年同期30.6%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执行风险高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800G/1.6T需同时完成认证、爬产、良率、交付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四、AAOI在光互连组合中的定位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公司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定位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与AAOI区别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LITE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激光器/光器件核心龙头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基本面更稳，产业位置更强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COHR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光器件、材料、激光、Datacom平台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产品线更宽，客户结构更稳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CRDO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AEC、SerDes、DSP、硅光PIC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更像AI互连芯片平台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TSEM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硅光代工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受益硅光制造平台化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AAOI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800G/1.6T光模块弹性股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弹性最大，但风险最高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AAOI不是你光互连组合的"压舱石"，而是进攻仓。</w:t>
      </w:r>
    </w:p>
    <w:p>
      <w:pPr>
        <w:pStyle w:val="Heading1"/>
      </w:pPr>
      <w:r>
        <w:rPr>
          <w:b w:val="0"/>
          <w:i w:val="0"/>
        </w:rPr>
        <w:t>五、仓位规则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类型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建议仓位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光互连板块总仓位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按组合计划决定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LITE + COHR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光互连核心，合计约40%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CRDO + TSEM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增强核心，合计约25%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VIAV / GLW / AVGO / NOK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稳定辅助，合计约25%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AAOI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3%-5%板块仓位即可，最高不超过8%-10%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AXTI / SIVEF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观察或极小仓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六、买入方式</w:t>
      </w:r>
    </w:p>
    <w:p>
      <w:r>
        <w:rPr>
          <w:b w:val="0"/>
          <w:i w:val="0"/>
        </w:rPr>
        <w:t>分三段：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第一笔：</w:t>
      </w:r>
      <w:r>
        <w:rPr>
          <w:b w:val="0"/>
          <w:i w:val="0"/>
        </w:rPr>
        <w:t>情绪杀跌后企稳，小仓试错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第二笔：</w:t>
      </w:r>
      <w:r>
        <w:rPr>
          <w:b w:val="0"/>
          <w:i w:val="0"/>
        </w:rPr>
        <w:t>Q2收入和毛利率确认后加</w:t>
      </w:r>
    </w:p>
    <w:p>
      <w:pPr>
        <w:ind w:left="255" w:hanging="198"/>
      </w:pPr>
      <w:r>
        <w:t xml:space="preserve">3. </w:t>
      </w:r>
      <w:r>
        <w:rPr>
          <w:b/>
          <w:i w:val="0"/>
        </w:rPr>
        <w:t>第三笔：</w:t>
      </w:r>
      <w:r>
        <w:rPr>
          <w:b w:val="0"/>
          <w:i w:val="0"/>
        </w:rPr>
        <w:t>Q3确认1.6T按时出货后再加</w:t>
      </w:r>
    </w:p>
    <w:p>
      <w:r>
        <w:rPr>
          <w:b w:val="0"/>
          <w:i w:val="0"/>
        </w:rPr>
        <w:t>不要因为"美国本土供应链叙事"直接重仓。</w:t>
      </w:r>
    </w:p>
    <w:p>
      <w:pPr>
        <w:pStyle w:val="Heading1"/>
      </w:pPr>
      <w:r>
        <w:rPr>
          <w:b w:val="0"/>
          <w:i w:val="0"/>
        </w:rPr>
        <w:t>七、退出条件</w:t>
      </w:r>
    </w:p>
    <w:p>
      <w:r>
        <w:rPr>
          <w:b/>
          <w:i w:val="0"/>
        </w:rPr>
        <w:t>短线退出：</w:t>
      </w:r>
      <w:r>
        <w:rPr>
          <w:b w:val="0"/>
          <w:i w:val="0"/>
        </w:rPr>
        <w:t>板块反弹但AAOI滞涨、放量冲高回落、跌破关键均线、出现ATM/内部人卖股/订单延迟负面消息。</w:t>
      </w:r>
    </w:p>
    <w:p>
      <w:r>
        <w:rPr>
          <w:b/>
          <w:i w:val="0"/>
        </w:rPr>
        <w:t>中线退出：</w:t>
      </w:r>
      <w:r>
        <w:rPr>
          <w:b w:val="0"/>
          <w:i w:val="0"/>
        </w:rPr>
        <w:t>Q2/Q3收入不及预期、1.6T延期、毛利率不升反降、现金流继续恶化、客户集中风险没有缓解。</w:t>
      </w:r>
    </w:p>
    <w:p>
      <w:pPr>
        <w:pStyle w:val="Heading1"/>
      </w:pPr>
      <w:r>
        <w:rPr>
          <w:b w:val="0"/>
          <w:i w:val="0"/>
        </w:rPr>
        <w:t>最终结论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维度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判断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产业方向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🟢 强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美国本土供应链叙事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🟢 强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订单催化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🟢 强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估值安全边际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🔴 弱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毛利率验证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🟡 一般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现金流质量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🔴 弱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客户结构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🔴 高风险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仓位角色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弹性仓，不是核心仓</w:t>
            </w:r>
          </w:p>
        </w:tc>
      </w:tr>
    </w:tbl>
    <w:p>
      <w:pPr>
        <w:spacing w:after="60"/>
      </w:pPr>
    </w:p>
    <w:p>
      <w:pPr>
        <w:ind w:left="227"/>
      </w:pPr>
      <w:r>
        <w:rPr>
          <w:b/>
          <w:i w:val="0"/>
        </w:rPr>
        <w:t>AAOI能做，但不能信仰化；把它当"光互连里的高β攻击仓"，用订单、毛利率、现金流和融资节奏来管住风险。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aaoi-trading-no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AAOI参与笔记：可以做，但不能当核心重仓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