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Cage：AI互联升级里容易被忽略的小环节</w:t>
      </w:r>
    </w:p>
    <w:p>
      <w:pPr>
        <w:pStyle w:val="Caption"/>
      </w:pPr>
      <w:r>
        <w:t>原文日期 2026-06-04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AI服务器硬件链条里，市场最容易先关注GPU、HBM、光模块、交换机、PCB、CCL，但还有一个更细的小环节值得留意：</w:t>
      </w:r>
      <w:r>
        <w:rPr>
          <w:b/>
          <w:i w:val="0"/>
        </w:rPr>
        <w:t>cage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这里的cage不是普通意义上的"笼子"，而是高速接口里的</w:t>
      </w:r>
      <w:r>
        <w:rPr>
          <w:b/>
          <w:i w:val="0"/>
        </w:rPr>
        <w:t>金属插槽 / 屏蔽笼 / 模块承载框架</w:t>
      </w:r>
      <w:r>
        <w:rPr>
          <w:b w:val="0"/>
          <w:i w:val="0"/>
        </w:rPr>
        <w:t>。简单说：光模块、铜缆模块插进去的那个金属框架，就是cage。</w:t>
      </w:r>
    </w:p>
    <w:p>
      <w:pPr>
        <w:pStyle w:val="Heading1"/>
      </w:pPr>
      <w:r>
        <w:rPr>
          <w:b w:val="0"/>
          <w:i w:val="0"/>
        </w:rPr>
        <w:t>一、Cage是什么？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功能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机械固定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稳定固定光模块或铜缆模块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电磁屏蔽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减少高速信号干扰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散热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帮助模块把热量导出去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插拔承载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保证接口多次插拔后的稳定性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结构保护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保护高速接口和连接器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二、为什么AI服务器会带动cage？</w:t>
      </w:r>
    </w:p>
    <w:p>
      <w:pPr>
        <w:spacing w:after="180" w:line="240" w:lineRule="exact"/>
      </w:pPr>
      <w:r>
        <w:rPr>
          <w:rFonts w:ascii="Menlo" w:hAnsi="Menlo"/>
          <w:b w:val="0"/>
          <w:i w:val="0"/>
          <w:sz w:val="16"/>
        </w:rPr>
        <w:br/>
        <w:t>AI集群扩大</w:t>
        <w:br/>
        <w:t>→ 高速互联需求增加</w:t>
        <w:br/>
        <w:t>→ 铜缆/光模块数量增加</w:t>
        <w:br/>
        <w:t>→ 高速接口数量增加</w:t>
        <w:br/>
        <w:t>→ cage需求增加</w:t>
      </w:r>
    </w:p>
    <w:p>
      <w:pPr>
        <w:pStyle w:val="Heading1"/>
      </w:pPr>
      <w:r>
        <w:rPr>
          <w:b w:val="0"/>
          <w:i w:val="0"/>
        </w:rPr>
        <w:t>三、铜缆和光模块都离不开cage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连接方式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优点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缺点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主要场景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铜缆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成本低、功耗低、延迟低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距离短、速率受限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柜内scale-up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光模块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距离远、带宽高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成本高、功耗高、散热压力大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柜外scale-out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铜互联和光互联并不是互斥地压制cage，反而都会增加高速cage的使用场景。</w:t>
      </w:r>
    </w:p>
    <w:p>
      <w:pPr>
        <w:pStyle w:val="Heading1"/>
      </w:pPr>
      <w:r>
        <w:rPr>
          <w:b w:val="0"/>
          <w:i w:val="0"/>
        </w:rPr>
        <w:t>四、1.6T之后，cage价值量可能提升</w:t>
      </w:r>
    </w:p>
    <w:p>
      <w:r>
        <w:rPr>
          <w:b w:val="0"/>
          <w:i w:val="0"/>
        </w:rPr>
        <w:t>从400G到800G再到1.6T，接口速率提升的同时功耗和散热压力也在上升。这会推动cage从普通结构件升级为更高价值量的散热结构件：</w:t>
      </w:r>
    </w:p>
    <w:p>
      <w:pPr>
        <w:spacing w:after="180" w:line="240" w:lineRule="exact"/>
      </w:pPr>
      <w:r>
        <w:rPr>
          <w:rFonts w:ascii="Menlo" w:hAnsi="Menlo"/>
          <w:b w:val="0"/>
          <w:i w:val="0"/>
          <w:sz w:val="16"/>
        </w:rPr>
        <w:br/>
        <w:t>普通cage → 加强散热cage → 带散热片cage → 液冷cage</w:t>
      </w:r>
    </w:p>
    <w:p>
      <w:r>
        <w:rPr>
          <w:b w:val="0"/>
          <w:i w:val="0"/>
        </w:rPr>
        <w:t>投资逻辑不只是"数量增加"，还包括</w:t>
      </w:r>
      <w:r>
        <w:rPr>
          <w:b/>
          <w:i w:val="0"/>
        </w:rPr>
        <w:t>单个cage价值量提升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五、投资链条位置</w:t>
      </w:r>
    </w:p>
    <w:p>
      <w:pPr>
        <w:spacing w:after="180" w:line="240" w:lineRule="exact"/>
      </w:pPr>
      <w:r>
        <w:rPr>
          <w:rFonts w:ascii="Menlo" w:hAnsi="Menlo"/>
          <w:b w:val="0"/>
          <w:i w:val="0"/>
          <w:sz w:val="16"/>
        </w:rPr>
        <w:br/>
        <w:t>AI算力需求</w:t>
        <w:br/>
        <w:t>→ GPU/ASIC放量</w:t>
        <w:br/>
        <w:t>→ 交换机、网卡、光模块、铜缆需求增加</w:t>
        <w:br/>
        <w:t>→ 高速接口密度提升</w:t>
        <w:br/>
        <w:t>→ cage、连接器、散热结构件需求提升</w:t>
      </w:r>
    </w:p>
    <w:p>
      <w:r>
        <w:rPr>
          <w:b w:val="0"/>
          <w:i w:val="0"/>
        </w:rPr>
        <w:t>它不是第一层核心瓶颈，而是高速互联放量后，向连接器和精密结构件扩散的</w:t>
      </w:r>
      <w:r>
        <w:rPr>
          <w:b/>
          <w:i w:val="0"/>
        </w:rPr>
        <w:t>二阶机会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六、验证框架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验证点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关键问题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产品真实性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是否真的有高速cage/高速连接器/光模块结构件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客户认证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是否进入NVIDIA、交换机厂、光模块厂、服务器厂供应链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收入占比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这块业务占比是否足够高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技术门槛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是否只是普通冲压件，还是高频高速、高散热结构件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放量节奏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800G/1.6T/液冷cage是否进入批量阶段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毛利率变化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产品升级是否带来毛利率提升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七、核心结论</w:t>
      </w:r>
    </w:p>
    <w:p>
      <w:pPr>
        <w:spacing w:after="180" w:line="240" w:lineRule="exact"/>
      </w:pPr>
      <w:r>
        <w:rPr>
          <w:rFonts w:ascii="Menlo" w:hAnsi="Menlo"/>
          <w:b w:val="0"/>
          <w:i w:val="0"/>
          <w:sz w:val="16"/>
        </w:rPr>
        <w:br/>
        <w:t>AI集群扩大</w:t>
        <w:br/>
        <w:t>→ 高速互联升级</w:t>
        <w:br/>
        <w:t>→ 铜缆和光模块数量增加</w:t>
        <w:br/>
        <w:t>→ 高速接口密度提升</w:t>
        <w:br/>
        <w:t>→ cage需求增加</w:t>
        <w:br/>
        <w:t>→ 1.6T功耗提升</w:t>
        <w:br/>
        <w:t>→ 普通cage向散热cage/液冷cage升级</w:t>
        <w:br/>
        <w:t>→ 连接器与精密结构件公司获得二阶扩散机会</w:t>
      </w:r>
    </w:p>
    <w:p>
      <w:r>
        <w:rPr>
          <w:b w:val="0"/>
          <w:i w:val="0"/>
        </w:rPr>
        <w:t>这条线优先级低于GPU、HBM、光模块、PCB/CCL，但在A股交易中，可能因为"小环节+高弹性+AI互联扩散"而被资金阶段性挖掘。适合放在</w:t>
      </w:r>
      <w:r>
        <w:rPr>
          <w:b/>
          <w:i w:val="0"/>
        </w:rPr>
        <w:t>AI互联二阶扩散 / 高速连接器 / 精密结构件 / 液冷散热升级</w:t>
      </w:r>
      <w:r>
        <w:rPr>
          <w:b w:val="0"/>
          <w:i w:val="0"/>
        </w:rPr>
        <w:t>框架里跟踪。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ai-cage-connec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Cage：AI互联升级里容易被忽略的小环节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