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AI核电全产业链拆解</w:t>
      </w:r>
    </w:p>
    <w:p>
      <w:pPr>
        <w:pStyle w:val="Caption"/>
      </w:pPr>
      <w:r>
        <w:t>原文日期 2026-05-27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/>
          <w:i w:val="0"/>
        </w:rPr>
        <w:t>核心结论：</w:t>
      </w:r>
      <w:r>
        <w:rPr>
          <w:b w:val="0"/>
          <w:i w:val="0"/>
        </w:rPr>
        <w:t>真正的"铲子"不是SMR公司本身，而是燃料循环、核电运营商、核岛设备与服务。SMR/微堆公司更像"金矿勘探股"：赔率高，但兑现时间长、监管和融资风险大。</w:t>
      </w:r>
    </w:p>
    <w:p>
      <w:pPr>
        <w:pStyle w:val="Heading1"/>
      </w:pPr>
      <w:r>
        <w:rPr>
          <w:b w:val="0"/>
          <w:i w:val="0"/>
        </w:rPr>
        <w:t>一、AI为什么重新点燃核电</w:t>
      </w:r>
    </w:p>
    <w:p>
      <w:r>
        <w:rPr>
          <w:b w:val="0"/>
          <w:i w:val="0"/>
        </w:rPr>
        <w:t>AI数据中心的核心问题不是"有没有电"，而是：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电够不够大：单个大型AI数据中心可能需要数百MW到GW级电力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电稳不稳定：GPU集群不适合频繁断电或剧烈波动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电是否低碳：微软/Meta/Google/Amazon都有减碳承诺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电网接入是否排队：很多地区电网接入等待时间很长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是否能签长期PPA锁定成本：AI资本开支越来越像重工业</w:t>
      </w:r>
    </w:p>
    <w:p>
      <w:r>
        <w:rPr>
          <w:b w:val="0"/>
          <w:i w:val="0"/>
        </w:rPr>
        <w:t>核电投资逻辑链条：</w:t>
      </w:r>
      <w:r>
        <w:br/>
      </w:r>
      <w:r>
        <w:rPr>
          <w:b w:val="0"/>
          <w:i w:val="0"/>
        </w:rPr>
        <w:br/>
        <w:t xml:space="preserve">            </w:t>
      </w:r>
      <w:r>
        <w:rPr>
          <w:b w:val="0"/>
          <w:i/>
        </w:rPr>
        <w:t>AI CapEx → 数据中心用电紧张 → 长期稳定电力溢价上升 → 核电资产重估 → 核燃料链瓶颈重估 → SMR/先进堆远期叙事升温。</w:t>
      </w:r>
    </w:p>
    <w:p>
      <w:pPr>
        <w:pStyle w:val="Heading1"/>
      </w:pPr>
      <w:r>
        <w:rPr>
          <w:b w:val="0"/>
          <w:i w:val="0"/>
        </w:rPr>
        <w:t>二、核电股四层分类</w:t>
      </w:r>
    </w:p>
    <w:p>
      <w:pPr>
        <w:pStyle w:val="Heading2"/>
      </w:pPr>
      <w:r>
        <w:rPr>
          <w:b w:val="0"/>
          <w:i w:val="0"/>
        </w:rPr>
        <w:t>第一层：铀矿商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定位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推荐逻辑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风险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CCJ</w:t>
            </w:r>
            <w:r>
              <w:rPr>
                <w:b w:val="0"/>
                <w:i w:val="0"/>
                <w:sz w:val="20"/>
              </w:rPr>
              <w:t xml:space="preserve"> Cameco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全球铀矿蓝筹+燃料服务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核电复兴铀需求增长；俄罗斯供应受限；Westinghouse权益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铀价波动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UEC</w:t>
            </w:r>
            <w:r>
              <w:rPr>
                <w:b w:val="0"/>
                <w:i w:val="0"/>
                <w:sz w:val="20"/>
              </w:rPr>
              <w:t xml:space="preserve"> Uranium Energy Corp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美国本土铀矿开发商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铀价弹性高，政策叙事强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盈利确定性弱，股权融资稀释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CCJ</w:t>
      </w:r>
      <w:r>
        <w:rPr>
          <w:b w:val="0"/>
          <w:i w:val="0"/>
        </w:rPr>
        <w:t xml:space="preserve"> 是核电产业链里的稳健核心资产，适合长期配置。</w:t>
      </w:r>
      <w:r>
        <w:br/>
      </w:r>
      <w:r>
        <w:rPr>
          <w:b w:val="0"/>
          <w:i w:val="0"/>
        </w:rPr>
        <w:br/>
        <w:t xml:space="preserve">            </w:t>
      </w:r>
      <w:r>
        <w:rPr>
          <w:b/>
          <w:i w:val="0"/>
        </w:rPr>
        <w:t>UEC</w:t>
      </w:r>
      <w:r>
        <w:rPr>
          <w:b w:val="0"/>
          <w:i w:val="0"/>
        </w:rPr>
        <w:t xml:space="preserve"> 适合做核电上游弹性仓，不适合作为稳健底仓。</w:t>
      </w:r>
    </w:p>
    <w:p>
      <w:pPr>
        <w:pStyle w:val="Heading2"/>
      </w:pPr>
      <w:r>
        <w:rPr>
          <w:b w:val="0"/>
          <w:i w:val="0"/>
        </w:rPr>
        <w:t>第二层：燃料循环/浓缩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定位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看点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LEU</w:t>
            </w:r>
            <w:r>
              <w:rPr>
                <w:b w:val="0"/>
                <w:i w:val="0"/>
                <w:sz w:val="20"/>
              </w:rPr>
              <w:t xml:space="preserve"> Centrus Energy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美国HALEU/铀浓缩核心稀缺资产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HALEU对SMR至关重要；DOE 9亿美元扩产合同；浓缩能力是真正的卡脖子环节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LEU</w:t>
      </w:r>
      <w:r>
        <w:rPr>
          <w:b w:val="0"/>
          <w:i w:val="0"/>
        </w:rPr>
        <w:t xml:space="preserve"> 是核电链条里产业逻辑最硬的高弹性资产，适合等回调分批参与。</w:t>
      </w:r>
    </w:p>
    <w:p>
      <w:pPr>
        <w:pStyle w:val="Heading2"/>
      </w:pPr>
      <w:r>
        <w:rPr>
          <w:b w:val="0"/>
          <w:i w:val="0"/>
        </w:rPr>
        <w:t>第三层：SMR/先进反应堆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定位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看点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风险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OKLO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先进快堆+AI电力叙事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Sam Altman背书；Meta 1.2GW协议；AI相关度极高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商业化时间长，收入利润支撑弱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SMR</w:t>
            </w:r>
            <w:r>
              <w:rPr>
                <w:b w:val="0"/>
                <w:i w:val="0"/>
                <w:sz w:val="20"/>
              </w:rPr>
              <w:t xml:space="preserve"> NuScale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监管路径最成熟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NRC标准设计批准；轻水堆路线不依赖HALEU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商业化曾受挫，成本竞争力存疑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NNE</w:t>
            </w:r>
            <w:r>
              <w:rPr>
                <w:b w:val="0"/>
                <w:i w:val="0"/>
                <w:sz w:val="20"/>
              </w:rPr>
              <w:t xml:space="preserve"> Nano Nuclear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微型反应堆概念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可用于远程矿山/数据中心；现金储备厚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最偏远期期权，只适合小仓位投机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OKLO</w:t>
      </w:r>
      <w:r>
        <w:rPr>
          <w:b w:val="0"/>
          <w:i w:val="0"/>
        </w:rPr>
        <w:t xml:space="preserve"> 是AI核电彩票里质量较高的一张，适合主题仓位，不适合重仓。</w:t>
      </w:r>
      <w:r>
        <w:br/>
      </w:r>
      <w:r>
        <w:rPr>
          <w:b w:val="0"/>
          <w:i w:val="0"/>
        </w:rPr>
        <w:br/>
        <w:t xml:space="preserve">            </w:t>
      </w:r>
      <w:r>
        <w:rPr>
          <w:b/>
          <w:i w:val="0"/>
        </w:rPr>
        <w:t>NuScale</w:t>
      </w:r>
      <w:r>
        <w:rPr>
          <w:b w:val="0"/>
          <w:i w:val="0"/>
        </w:rPr>
        <w:t xml:space="preserve"> 工程确定性更高，商业化经济性仍是最大疑问。</w:t>
      </w:r>
      <w:r>
        <w:br/>
      </w:r>
      <w:r>
        <w:rPr>
          <w:b w:val="0"/>
          <w:i w:val="0"/>
        </w:rPr>
        <w:br/>
        <w:t xml:space="preserve">            </w:t>
      </w:r>
      <w:r>
        <w:rPr>
          <w:b/>
          <w:i w:val="0"/>
        </w:rPr>
        <w:t>NNE</w:t>
      </w:r>
      <w:r>
        <w:rPr>
          <w:b w:val="0"/>
          <w:i w:val="0"/>
        </w:rPr>
        <w:t xml:space="preserve"> 是这批里面最偏远期期权的票。</w:t>
      </w:r>
    </w:p>
    <w:p>
      <w:pPr>
        <w:pStyle w:val="Heading2"/>
      </w:pPr>
      <w:r>
        <w:rPr>
          <w:b w:val="0"/>
          <w:i w:val="0"/>
        </w:rPr>
        <w:t>第四层：核电运营商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定位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看点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CEG</w:t>
            </w:r>
            <w:r>
              <w:rPr>
                <w:b w:val="0"/>
                <w:i w:val="0"/>
                <w:sz w:val="20"/>
              </w:rPr>
              <w:t xml:space="preserve"> Constellation Energy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美国最大核电运营商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真实现金流；Meta 20年PPA；TMI重启为微软供电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CEG</w:t>
      </w:r>
      <w:r>
        <w:rPr>
          <w:b w:val="0"/>
          <w:i w:val="0"/>
        </w:rPr>
        <w:t xml:space="preserve"> 是AI核电中最稳的核心资产之一，适合回调配置。</w:t>
      </w:r>
    </w:p>
    <w:p>
      <w:pPr>
        <w:pStyle w:val="Heading1"/>
      </w:pPr>
      <w:r>
        <w:rPr>
          <w:b w:val="0"/>
          <w:i w:val="0"/>
        </w:rPr>
        <w:t>三、投资优先级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核燃料循环（LEU）</w:t>
      </w:r>
      <w:r>
        <w:rPr>
          <w:b w:val="0"/>
          <w:i w:val="0"/>
        </w:rPr>
        <w:t xml:space="preserve"> — 逻辑最硬的高弹性资产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核电运营商（CEG）</w:t>
      </w:r>
      <w:r>
        <w:rPr>
          <w:b w:val="0"/>
          <w:i w:val="0"/>
        </w:rPr>
        <w:t xml:space="preserve"> — 真实现金流+AI PPA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铀矿商（CCJ）</w:t>
      </w:r>
      <w:r>
        <w:rPr>
          <w:b w:val="0"/>
          <w:i w:val="0"/>
        </w:rPr>
        <w:t xml:space="preserve"> — 稳健核心，长期底仓</w:t>
      </w:r>
    </w:p>
    <w:p>
      <w:pPr>
        <w:ind w:left="255" w:hanging="198"/>
      </w:pPr>
      <w:r>
        <w:t xml:space="preserve">4. </w:t>
      </w:r>
      <w:r>
        <w:rPr>
          <w:b/>
          <w:i w:val="0"/>
        </w:rPr>
        <w:t>SMR/先进堆（OKLO/SMR/NNE）</w:t>
      </w:r>
      <w:r>
        <w:rPr>
          <w:b w:val="0"/>
          <w:i w:val="0"/>
        </w:rPr>
        <w:t xml:space="preserve"> — 高风险彩票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ai-nuclear-ch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AI核电全产业链拆解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