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AVGO vs MRVL：平台型护城河 vs 高弹性AI互联芯片</w:t>
      </w:r>
    </w:p>
    <w:p>
      <w:pPr>
        <w:pStyle w:val="Caption"/>
      </w:pPr>
      <w:r>
        <w:t>原文日期 2026-06-19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pPr>
        <w:pStyle w:val="Heading1"/>
      </w:pPr>
      <w:r>
        <w:rPr>
          <w:b w:val="0"/>
          <w:i w:val="0"/>
        </w:rPr>
        <w:t>结论</w:t>
      </w:r>
    </w:p>
    <w:p>
      <w:r>
        <w:rPr>
          <w:b/>
          <w:i w:val="0"/>
        </w:rPr>
        <w:t>只能选一个：选 AVGO。</w:t>
      </w:r>
    </w:p>
    <w:p>
      <w:r>
        <w:rPr>
          <w:b w:val="0"/>
          <w:i w:val="0"/>
        </w:rPr>
        <w:t>MRVL 是一只更纯粹、更高弹性的"AI数据中心互联＋定制芯片"成长股；AVGO 则是已经形成平台级护城河的基础设施巨头。若目标是长期底仓、胜率和复利质量，AVGO明显占优；MRVL更适合做阶段性高β仓位，不能完全替代AVGO。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维度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AVGO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MRVL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胜者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业务广度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 ASIC、以太网交换、SerDes/PHY、光器件、无线射频、存储、VMware、主机软件、安全软件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定制ASIC、光DSP、SerDes、以太网交换、PCIe/CXL、DPU、存储控制器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AVGO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AI纯度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较高，但有软件和传统半导体支撑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极高，数据中心占收入76%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MRVL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技术壁垒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多个细分领域平台级领先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光互联、存储控制、定制芯片有较强壁垒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AVGO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客户切换成本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芯片设计锁定＋软件迁移锁定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芯片设计锁定为主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AVGO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盈利与现金流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极强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改善明显，但仍有差距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AVGO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客户集中风险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高，但业务较分散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更高，且数据中心单一市场集中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AVGO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股价弹性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大盘核心AI股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更高β、更容易超预期或低预期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MRVL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一、两家公司到底在做什么</w:t>
      </w:r>
    </w:p>
    <w:p>
      <w:r>
        <w:rPr>
          <w:b/>
          <w:i w:val="0"/>
        </w:rPr>
        <w:t>AVGO本质是"AI基础设施平台＋企业基础软件"。</w:t>
      </w:r>
      <w:r>
        <w:rPr>
          <w:b w:val="0"/>
          <w:i w:val="0"/>
        </w:rPr>
        <w:t xml:space="preserve"> 2026财年第二季度，半导体业务占收入68%，软件占32%；单季AI半导体收入已经达到108亿美元，主要来自定制AI加速器和AI以太网网络。除此之外，它还有无线射频、Wi-Fi、宽带、PCIe、SAS/RAID、HDD/SSD控制器等成熟业务，以及VMware私有云、主机软件和网络安全业务。</w:t>
      </w:r>
    </w:p>
    <w:p>
      <w:r>
        <w:rPr>
          <w:b/>
          <w:i w:val="0"/>
        </w:rPr>
        <w:t>MRVL本质是"AI数据中心互联芯片公司"。</w:t>
      </w:r>
      <w:r>
        <w:rPr>
          <w:b w:val="0"/>
          <w:i w:val="0"/>
        </w:rPr>
        <w:t xml:space="preserve"> 2027财年第一季度，数据中心收入约18.33亿美元，占总收入76%。其核心产品包括定制ASIC、PAM和相干光DSP、激光驱动和TIA、硅光、AEC DSP、PCIe Retimer、以太网交换机、DPU以及HDD/SSD控制器；收购Celestial AI和XConn后，又加强了光学Scale-up、PCIe/CXL和UALink方向。</w:t>
      </w:r>
    </w:p>
    <w:p>
      <w:r>
        <w:rPr>
          <w:b w:val="0"/>
          <w:i w:val="0"/>
        </w:rPr>
        <w:t>所以二者不是完全不同的公司，而是存在大量重叠：</w:t>
      </w:r>
    </w:p>
    <w:p>
      <w:r>
        <w:rPr>
          <w:b/>
          <w:i w:val="0"/>
        </w:rPr>
        <w:t>定制ASIC、AI以太网、SerDes、高速互联、PCIe和存储控制，二者都做；MRVL在光DSP和电光互联上的纯度更高，AVGO在交换芯片、定制加速器、软件和整体平台能力上更强。</w:t>
      </w:r>
    </w:p>
    <w:p>
      <w:pPr>
        <w:pStyle w:val="Heading1"/>
      </w:pPr>
      <w:r>
        <w:rPr>
          <w:b w:val="0"/>
          <w:i w:val="0"/>
        </w:rPr>
        <w:t>二、护城河比较</w:t>
      </w:r>
    </w:p>
    <w:p>
      <w:pPr>
        <w:pStyle w:val="Heading2"/>
      </w:pPr>
      <w:r>
        <w:rPr>
          <w:b w:val="0"/>
          <w:i w:val="0"/>
        </w:rPr>
        <w:t>1. 定制ASIC：AVGO更强</w:t>
      </w:r>
    </w:p>
    <w:p>
      <w:r>
        <w:rPr>
          <w:b w:val="0"/>
          <w:i w:val="0"/>
        </w:rPr>
        <w:t>定制芯片不是"接到一个订单就形成壁垒"，真正壁垒来自先进制程设计能力、SerDes IP、封装能力、软件协同、量产良率和连续几代产品交付记录。AVGO已经把定制AI加速器与以太网交换、NIC、PHY组合成完整方案，客户一旦采用，后续几代产品往往继续合作。MRVL也具备3nm、2nm平台和定制HBM、Chiplet、硅光能力，但规模、交付历史和资源投入仍弱于AVGO。</w:t>
      </w:r>
    </w:p>
    <w:p>
      <w:pPr>
        <w:pStyle w:val="Heading2"/>
      </w:pPr>
      <w:r>
        <w:rPr>
          <w:b w:val="0"/>
          <w:i w:val="0"/>
        </w:rPr>
        <w:t>2. 网络与互联：各有所长，但AVGO平台更完整</w:t>
      </w:r>
    </w:p>
    <w:p>
      <w:r>
        <w:rPr>
          <w:b w:val="0"/>
          <w:i w:val="0"/>
        </w:rPr>
        <w:t>MRVL的真正强项是PAM DSP、相干DSP、DCI、AEC和光电互联，这是它最有辨识度的护城河。尤其随着800G、1.6T、CPO和光学Scale-up发展，MRVL能够吃到"每颗加速器互联价值量上升"的红利。AVGO则更强在交换芯片、PHY、NIC、SerDes和整个以太网网络架构，覆盖从机架内部到数据中心网络，控制点更多。</w:t>
      </w:r>
    </w:p>
    <w:p>
      <w:r>
        <w:rPr>
          <w:b w:val="0"/>
          <w:i w:val="0"/>
        </w:rPr>
        <w:t>可以理解为：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MRVL更像卖高速公路上的光模块信号处理、连接器和部分交通节点。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AVGO不仅卖连接部件，还控制大量核心交换节点、定制计算芯片和网络平台。</w:t>
      </w:r>
    </w:p>
    <w:p>
      <w:r>
        <w:rPr>
          <w:b w:val="0"/>
          <w:i w:val="0"/>
        </w:rPr>
        <w:t>因此，</w:t>
      </w:r>
      <w:r>
        <w:rPr>
          <w:b/>
          <w:i w:val="0"/>
        </w:rPr>
        <w:t>MRVL在某些单点技术上很强，但AVGO的系统级护城河更深。</w:t>
      </w:r>
    </w:p>
    <w:p>
      <w:pPr>
        <w:pStyle w:val="Heading2"/>
      </w:pPr>
      <w:r>
        <w:rPr>
          <w:b w:val="0"/>
          <w:i w:val="0"/>
        </w:rPr>
        <w:t>3. 软件业务让AVGO形成第二层护城河</w:t>
      </w:r>
    </w:p>
    <w:p>
      <w:r>
        <w:rPr>
          <w:b w:val="0"/>
          <w:i w:val="0"/>
        </w:rPr>
        <w:t>VMware、主机软件、网络安全和企业软件具有极高迁移成本，客户通常是大型企业和政府机构。这部分业务不仅提供高毛利和稳定现金流，还降低了半导体周期波动。MRVL基本是纯半导体公司，没有这一层稳定器。AVGO 2025财年软件收入占42%，基础软件分部经营利润约208亿美元，软件已经不是附属业务，而是重要利润支柱。</w:t>
      </w:r>
    </w:p>
    <w:p>
      <w:pPr>
        <w:pStyle w:val="Heading1"/>
      </w:pPr>
      <w:r>
        <w:rPr>
          <w:b w:val="0"/>
          <w:i w:val="0"/>
        </w:rPr>
        <w:t>三、客户集中与风险</w:t>
      </w:r>
    </w:p>
    <w:p>
      <w:r>
        <w:rPr>
          <w:b w:val="0"/>
          <w:i w:val="0"/>
        </w:rPr>
        <w:t>MRVL的客户集中度明显更高：2026财年十大客户贡献总收入的82%；最新季度，一个直接客户占16%，一个分销商占45%。虽然分销商收入不等于单一终端客户，但仍说明MRVL对少数云厂商、模块厂商和供应链渠道高度依赖。一个ASIC项目推迟、客户自研或光DSP份额变化，都可能明显影响业绩。</w:t>
      </w:r>
    </w:p>
    <w:p>
      <w:r>
        <w:rPr>
          <w:b w:val="0"/>
          <w:i w:val="0"/>
        </w:rPr>
        <w:t>AVGO也有客户集中风险，2025财年前五大终端客户约占40%，一个分销渠道客户占32%；但其客户基础横跨AI云厂商、苹果无线业务、网络设备、存储和企业软件，整体风险分散程度优于MRVL。</w:t>
      </w:r>
    </w:p>
    <w:p>
      <w:pPr>
        <w:pStyle w:val="Heading1"/>
      </w:pPr>
      <w:r>
        <w:rPr>
          <w:b w:val="0"/>
          <w:i w:val="0"/>
        </w:rPr>
        <w:t>四、盈利模式差距</w:t>
      </w:r>
    </w:p>
    <w:p>
      <w:r>
        <w:rPr>
          <w:b w:val="0"/>
          <w:i w:val="0"/>
        </w:rPr>
        <w:t>AVGO 2026财年第二季度收入222亿美元，自由现金流102.6亿美元，调整后EBITDA率69%；MRVL最新季度收入24.18亿美元，GAAP毛利率52.1%、非GAAP毛利率58.9%，经营现金流6.39亿美元。两者都在增长，但AVGO的规模、利润率和自由现金流能力不是一个层级。</w:t>
      </w:r>
    </w:p>
    <w:p>
      <w:r>
        <w:rPr>
          <w:b w:val="0"/>
          <w:i w:val="0"/>
        </w:rPr>
        <w:t>MRVL较低的利润率并不代表产品差，而是因为定制ASIC、DSP和交付完整芯片方案通常需要承担晶圆、封装和供应链成本，业务模型天然比高毛利软件、IP授权和成熟交换芯片更重。公司也明确指出，端到端ASIC模式通常会拉低毛利率。</w:t>
      </w:r>
    </w:p>
    <w:p>
      <w:pPr>
        <w:pStyle w:val="Heading1"/>
      </w:pPr>
      <w:r>
        <w:rPr>
          <w:b w:val="0"/>
          <w:i w:val="0"/>
        </w:rPr>
        <w:t>最终判断</w:t>
      </w:r>
    </w:p>
    <w:p>
      <w:r>
        <w:rPr>
          <w:b/>
          <w:i w:val="0"/>
        </w:rPr>
        <w:t>护城河排序：AVGO &gt; MRVL。</w:t>
      </w:r>
    </w:p>
    <w:p>
      <w:r>
        <w:rPr>
          <w:b w:val="0"/>
          <w:i w:val="0"/>
        </w:rPr>
        <w:t>AVGO的护城河是多层叠加：</w:t>
      </w:r>
    </w:p>
    <w:p>
      <w:pPr>
        <w:ind w:left="255" w:hanging="198"/>
      </w:pPr>
      <w:r>
        <w:t xml:space="preserve">1. </w:t>
      </w:r>
      <w:r>
        <w:rPr>
          <w:b w:val="0"/>
          <w:i w:val="0"/>
        </w:rPr>
        <w:t>定制AI加速器和先进ASIC能力；</w:t>
      </w:r>
    </w:p>
    <w:p>
      <w:pPr>
        <w:ind w:left="255" w:hanging="198"/>
      </w:pPr>
      <w:r>
        <w:t xml:space="preserve">2. </w:t>
      </w:r>
      <w:r>
        <w:rPr>
          <w:b w:val="0"/>
          <w:i w:val="0"/>
        </w:rPr>
        <w:t>以太网交换、SerDes、PHY、NIC等平台级网络能力；</w:t>
      </w:r>
    </w:p>
    <w:p>
      <w:pPr>
        <w:ind w:left="255" w:hanging="198"/>
      </w:pPr>
      <w:r>
        <w:t xml:space="preserve">3. </w:t>
      </w:r>
      <w:r>
        <w:rPr>
          <w:b w:val="0"/>
          <w:i w:val="0"/>
        </w:rPr>
        <w:t>无线射频、存储等成熟现金牛；</w:t>
      </w:r>
    </w:p>
    <w:p>
      <w:pPr>
        <w:ind w:left="255" w:hanging="198"/>
      </w:pPr>
      <w:r>
        <w:t xml:space="preserve">4. </w:t>
      </w:r>
      <w:r>
        <w:rPr>
          <w:b w:val="0"/>
          <w:i w:val="0"/>
        </w:rPr>
        <w:t>VMware和企业软件的高切换成本；</w:t>
      </w:r>
    </w:p>
    <w:p>
      <w:pPr>
        <w:ind w:left="255" w:hanging="198"/>
      </w:pPr>
      <w:r>
        <w:t xml:space="preserve">5. </w:t>
      </w:r>
      <w:r>
        <w:rPr>
          <w:b w:val="0"/>
          <w:i w:val="0"/>
        </w:rPr>
        <w:t>超强现金流带来的研发、并购和供应链议价能力。</w:t>
      </w:r>
    </w:p>
    <w:p>
      <w:r>
        <w:rPr>
          <w:b w:val="0"/>
          <w:i w:val="0"/>
        </w:rPr>
        <w:t>MRVL的护城河主要集中在：</w:t>
      </w:r>
    </w:p>
    <w:p>
      <w:pPr>
        <w:ind w:left="255" w:hanging="198"/>
      </w:pPr>
      <w:r>
        <w:t xml:space="preserve">1. </w:t>
      </w:r>
      <w:r>
        <w:rPr>
          <w:b w:val="0"/>
          <w:i w:val="0"/>
        </w:rPr>
        <w:t>光DSP和电光互联；</w:t>
      </w:r>
    </w:p>
    <w:p>
      <w:pPr>
        <w:ind w:left="255" w:hanging="198"/>
      </w:pPr>
      <w:r>
        <w:t xml:space="preserve">2. </w:t>
      </w:r>
      <w:r>
        <w:rPr>
          <w:b w:val="0"/>
          <w:i w:val="0"/>
        </w:rPr>
        <w:t>定制ASIC与SerDes IP；</w:t>
      </w:r>
    </w:p>
    <w:p>
      <w:pPr>
        <w:ind w:left="255" w:hanging="198"/>
      </w:pPr>
      <w:r>
        <w:t xml:space="preserve">3. </w:t>
      </w:r>
      <w:r>
        <w:rPr>
          <w:b w:val="0"/>
          <w:i w:val="0"/>
        </w:rPr>
        <w:t>存储控制器；</w:t>
      </w:r>
    </w:p>
    <w:p>
      <w:pPr>
        <w:ind w:left="255" w:hanging="198"/>
      </w:pPr>
      <w:r>
        <w:t xml:space="preserve">4. </w:t>
      </w:r>
      <w:r>
        <w:rPr>
          <w:b w:val="0"/>
          <w:i w:val="0"/>
        </w:rPr>
        <w:t>新进入的光学Scale-up、CXL和UALink。</w:t>
      </w:r>
    </w:p>
    <w:p>
      <w:r>
        <w:rPr>
          <w:b w:val="0"/>
          <w:i w:val="0"/>
        </w:rPr>
        <w:t>这些是真实壁垒，但更依赖少数客户、少数产品路线和AI资本开支周期。</w:t>
      </w:r>
    </w:p>
    <w:p>
      <w:r>
        <w:rPr>
          <w:b w:val="0"/>
          <w:i w:val="0"/>
        </w:rPr>
        <w:t>结合你的组合已经重仓光互联、存储和高βAI资产，</w:t>
      </w:r>
      <w:r>
        <w:rPr>
          <w:b/>
          <w:i w:val="0"/>
        </w:rPr>
        <w:t>MRVL会进一步强化同一种风险暴露；AVGO反而提供定制计算、网络、软件和现金流的多重平衡。</w:t>
      </w:r>
    </w:p>
    <w:p>
      <w:r>
        <w:rPr>
          <w:b w:val="0"/>
          <w:i w:val="0"/>
        </w:rPr>
        <w:t>因此执行上只有一个答案：</w:t>
      </w:r>
    </w:p>
    <w:p>
      <w:r>
        <w:rPr>
          <w:b/>
          <w:i w:val="0"/>
        </w:rPr>
        <w:t>长期核心仓选AVGO；MRVL只有在你明确追求AI互联上行弹性、并愿意承受更大业绩波动时，才优于AVGO。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0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avgo-vs-mrvl-platform-vs-chi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AVGO vs MRVL：平台型护城河 vs 高弹性AI互联芯片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