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AI服务器CCL全球竞争格局：谁在真正供应高速材料</w:t>
      </w:r>
    </w:p>
    <w:p>
      <w:pPr>
        <w:pStyle w:val="Caption"/>
      </w:pPr>
      <w:r>
        <w:t>原文日期 2026-06-19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核心结论</w:t>
      </w:r>
    </w:p>
    <w:p>
      <w:r>
        <w:rPr>
          <w:b w:val="0"/>
          <w:i w:val="0"/>
        </w:rPr>
        <w:t>全球真正具备AI服务器、高速交换机量产供货能力的CCL厂商，核心是六家：</w:t>
      </w:r>
    </w:p>
    <w:p>
      <w:r>
        <w:rPr>
          <w:b/>
          <w:i w:val="0"/>
        </w:rPr>
        <w:t>台光电、松下电工材料、台燿、联茂、斗山电子材料、生益科技。</w:t>
      </w:r>
    </w:p>
    <w:p>
      <w:r>
        <w:rPr>
          <w:b w:val="0"/>
          <w:i w:val="0"/>
        </w:rPr>
        <w:t>产业格局不是「日本垄断」，而是：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中国台湾：</w:t>
      </w:r>
      <w:r>
        <w:rPr>
          <w:b w:val="0"/>
          <w:i w:val="0"/>
        </w:rPr>
        <w:t xml:space="preserve"> 量产份额和投资标的最集中，台光电已成为高端高速CCL的商业化龙头，台燿、联茂追赶。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日本：</w:t>
      </w:r>
      <w:r>
        <w:rPr>
          <w:b w:val="0"/>
          <w:i w:val="0"/>
        </w:rPr>
        <w:t xml:space="preserve"> 底层材料与超低损耗技术仍强，松下Megtron仍是行业标杆，但上市公司业务不够纯。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韩国：</w:t>
      </w:r>
      <w:r>
        <w:rPr>
          <w:b w:val="0"/>
          <w:i w:val="0"/>
        </w:rPr>
        <w:t xml:space="preserve"> 斗山在特定GPU平台供应链中地位较强，但信息透明度和股票纯度一般。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中国大陆：</w:t>
      </w:r>
      <w:r>
        <w:rPr>
          <w:b w:val="0"/>
          <w:i w:val="0"/>
        </w:rPr>
        <w:t xml:space="preserve"> 生益科技已不再只是低端替代，AI服务器认证已转化为订单，但在全球顶级平台份额、M9级量产规模和海外供应链控制力上仍落后。</w:t>
      </w:r>
    </w:p>
    <w:p>
      <w:r>
        <w:rPr>
          <w:b w:val="0"/>
          <w:i w:val="0"/>
        </w:rPr>
        <w:t>从投资角度，不考虑当前股价：</w:t>
      </w:r>
    </w:p>
    <w:p>
      <w:r>
        <w:rPr>
          <w:b/>
          <w:i w:val="0"/>
        </w:rPr>
        <w:t>最强产业资产是台光电；最有份额提升弹性的是台燿；A股最核心的是生益科技；联茂属于利润率修复和产品升级型标的。</w:t>
      </w:r>
    </w:p>
    <w:p>
      <w:pPr>
        <w:pStyle w:val="Heading1"/>
      </w:pPr>
      <w:r>
        <w:rPr>
          <w:b w:val="0"/>
          <w:i w:val="0"/>
        </w:rPr>
        <w:t>一、先厘清：AI服务器CCL究竟供在哪里</w:t>
      </w:r>
    </w:p>
    <w:p>
      <w:r>
        <w:rPr>
          <w:b w:val="0"/>
          <w:i w:val="0"/>
        </w:rPr>
        <w:t>CCL即覆铜板，是PCB的核心基材。供应链通常不是CCL厂直接把产品卖给英伟达或云厂商，而是：树脂/电子布/铜箔 → CCL厂 → PCB厂 → 服务器ODM/交换机厂 → NVIDIA、AMD及云厂商。</w:t>
      </w:r>
    </w:p>
    <w:p>
      <w:r>
        <w:rPr>
          <w:b w:val="0"/>
          <w:i w:val="0"/>
        </w:rPr>
        <w:t>但AI平台会介入材料认证。因为更换CCL可能改变传输损耗、阻抗、PCB压合参数、可靠性和良率，所以一旦某种材料进入平台的Stack-up，替换成本明显高于普通消费电子材料。</w:t>
      </w:r>
    </w:p>
    <w:p>
      <w:r>
        <w:rPr>
          <w:b w:val="0"/>
          <w:i w:val="0"/>
        </w:rPr>
        <w:t>AI服务器主要拉动三类产品：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GPU计算板、交换板、网卡等高速信号板；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800G、1.6T交换机及背板、Midplane；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AI电源板、厚铜板及高速材料混压板。</w:t>
      </w:r>
    </w:p>
    <w:p>
      <w:r>
        <w:rPr>
          <w:b w:val="0"/>
          <w:i w:val="0"/>
        </w:rPr>
        <w:t>市场常说的M6、M7、M8、M9，本质是按传输损耗和材料性能进行的行业分级，并不是严格统一的国际标准。松下使用Megtron系列，台燿、联茂、台光电也有自己的产品命名和测试方法，因此不能只凭「某公司发布了M9产品」便认定其已经进入M9大规模量产。</w:t>
      </w:r>
    </w:p>
    <w:p>
      <w:pPr>
        <w:pStyle w:val="Heading1"/>
      </w:pPr>
      <w:r>
        <w:rPr>
          <w:b w:val="0"/>
          <w:i w:val="0"/>
        </w:rPr>
        <w:t>二、真实市场格局：台系已经占据量产主导</w:t>
      </w:r>
    </w:p>
    <w:p>
      <w:r>
        <w:rPr>
          <w:b w:val="0"/>
          <w:i w:val="0"/>
        </w:rPr>
        <w:t>台光电演示材料引用Prismark数据称，在2024年「无卤高速覆铜板」这一特定统计口径中：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厂商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份额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台光电 EMC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40.1%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联茂 ITEQ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24.4%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台燿 TUC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16.9%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生益科技 SYTECH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5.7%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南亚塑胶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5.3%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斗山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4.0%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华正新材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1.0%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南亚新材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0.8%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建滔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0.8%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这组数据反映出台系在高速材料上的规模优势，但必须注意：它不是「AI服务器CCL份额」，也不是全部CCL市场份额。松下没有出现在这一口径中，也不能据此认为松下失去AI服务器市场，因为无卤分类、产品范围及统计样本不同。</w:t>
      </w:r>
    </w:p>
    <w:p>
      <w:pPr>
        <w:pStyle w:val="Heading2"/>
      </w:pPr>
      <w:r>
        <w:rPr>
          <w:b w:val="0"/>
          <w:i w:val="0"/>
        </w:rPr>
        <w:t>第一梯队：台光电、松下</w:t>
      </w:r>
    </w:p>
    <w:p>
      <w:r>
        <w:rPr>
          <w:b/>
          <w:i w:val="0"/>
        </w:rPr>
        <w:t>台光电 EMC：商业化龙头。</w:t>
      </w:r>
      <w:r>
        <w:rPr>
          <w:b w:val="0"/>
          <w:i w:val="0"/>
        </w:rPr>
        <w:t xml:space="preserve"> 台光电在年报中称，2024年高速数字材料在AI服务器、通用服务器、交换机和存储领域的市场地位达到全球第一，并已完成面向224Gbps信号、1.6T交换机和高速AI服务器的环保基材认证。这里的价值不只在于「材料性能高」，而在于已经形成客户认证、规模制造、良率和订单闭环。</w:t>
      </w:r>
    </w:p>
    <w:p>
      <w:r>
        <w:rPr>
          <w:b w:val="0"/>
          <w:i w:val="0"/>
        </w:rPr>
        <w:t>台光电的护城河主要是：产品代际领先；与台系PCB、ODM供应链绑定紧密；高端材料占比较高；海外产能布局较早；能够在新平台早期参与材料和Stack-up定义。台光电相当于CCL领域的「高端平台型供应商」，而不是单纯依靠行业涨价盈利的周期公司。</w:t>
      </w:r>
    </w:p>
    <w:p>
      <w:r>
        <w:rPr>
          <w:b/>
          <w:i w:val="0"/>
        </w:rPr>
        <w:t>松下：技术标杆仍在，但投资纯度不足。</w:t>
      </w:r>
      <w:r>
        <w:rPr>
          <w:b w:val="0"/>
          <w:i w:val="0"/>
        </w:rPr>
        <w:t xml:space="preserve"> 松下Megtron 8面向800GbE等高速应用，官方称其传输损耗较Megtron 7降低约30%。松下计划投资约75亿日元扩建广州MEGTRON产线，并投资约170亿日元在泰国建设新产能，目标是在五年内将MEGTRON整体产量提高一倍。</w:t>
      </w:r>
    </w:p>
    <w:p>
      <w:r>
        <w:rPr>
          <w:b w:val="0"/>
          <w:i w:val="0"/>
        </w:rPr>
        <w:t>松下仍然代表超低损耗树脂体系、批次一致性和可靠性上限，但问题是CCL在松下集团中的收入占比有限。即使AI CCL盈利高增长，对集团利润的拉动也可能被其他业务稀释，因此它是优质供应商，却不是最优的CCL纯投资标的。</w:t>
      </w:r>
    </w:p>
    <w:p>
      <w:pPr>
        <w:pStyle w:val="Heading2"/>
      </w:pPr>
      <w:r>
        <w:rPr>
          <w:b w:val="0"/>
          <w:i w:val="0"/>
        </w:rPr>
        <w:t>第二梯队：台燿、联茂、斗山</w:t>
      </w:r>
    </w:p>
    <w:p>
      <w:r>
        <w:rPr>
          <w:b/>
          <w:i w:val="0"/>
        </w:rPr>
        <w:t>台燿 TUC：当前最值得关注的追赶者。</w:t>
      </w:r>
      <w:r>
        <w:rPr>
          <w:b w:val="0"/>
          <w:i w:val="0"/>
        </w:rPr>
        <w:t xml:space="preserve"> 台燿2025年CCL收入中，极低损耗及超低损耗材料占36%，低损耗及甚低损耗占32%，合计约68%；2026年第一季度两者合计进一步达到约70%。公司ThunderClad系列明确面向AI服务器和高速传输应用。</w:t>
      </w:r>
    </w:p>
    <w:p>
      <w:r>
        <w:rPr>
          <w:b w:val="0"/>
          <w:i w:val="0"/>
        </w:rPr>
        <w:t>台燿的投资逻辑不是取代台光电，而是：AI服务器和交换机市场扩大后，第二供应商份额提升；高端材料占比上升带动ASP和毛利率；台光电产能紧张时承接外溢订单；1.6T交换机和新服务器平台带来产品升级。台燿的产业确定性弱于台光电，但业绩弹性可能更高。</w:t>
      </w:r>
    </w:p>
    <w:p>
      <w:r>
        <w:rPr>
          <w:b/>
          <w:i w:val="0"/>
        </w:rPr>
        <w:t>联茂 ITEQ：规模大，但盈利质量暂时落后。</w:t>
      </w:r>
      <w:r>
        <w:rPr>
          <w:b w:val="0"/>
          <w:i w:val="0"/>
        </w:rPr>
        <w:t xml:space="preserve"> 联茂2025年约68%的收入来自基础设施领域，产品路线已覆盖M8级IT-998GSE系列和更低损耗的IT-999GSE3，并在泰国分阶段建设产能。不过2026年第一季度毛利率仅11.42%，明显低于高端CCL龙头应有的盈利水平。</w:t>
      </w:r>
    </w:p>
    <w:p>
      <w:r>
        <w:rPr>
          <w:b w:val="0"/>
          <w:i w:val="0"/>
        </w:rPr>
        <w:t>联茂更像产品升级+利润率修复标的。一旦高端产品放量且涨价顺利，利润弹性会很大；如果毛利率长期低位，则说明其产品议价权仍然不足。</w:t>
      </w:r>
    </w:p>
    <w:p>
      <w:r>
        <w:rPr>
          <w:b/>
          <w:i w:val="0"/>
        </w:rPr>
        <w:t>斗山电子材料：平台地位较强，但资本市场映射较弱。</w:t>
      </w:r>
      <w:r>
        <w:rPr>
          <w:b w:val="0"/>
          <w:i w:val="0"/>
        </w:rPr>
        <w:t xml:space="preserve"> 斗山官方将高可靠性、低传输损耗CCL列为核心业务，并计划投资约1800亿韩元扩产，新工厂预计2028年下半年量产。斗山的优势是韩国电子产业链、GPU平台经验和高端材料能力；缺点是相关业务隐藏在综合集团内，不适合作为CCL纯度最高的投资工具。</w:t>
      </w:r>
    </w:p>
    <w:p>
      <w:pPr>
        <w:pStyle w:val="Heading2"/>
      </w:pPr>
      <w:r>
        <w:rPr>
          <w:b w:val="0"/>
          <w:i w:val="0"/>
        </w:rPr>
        <w:t>第三梯队中的最强者：生益科技</w:t>
      </w:r>
    </w:p>
    <w:p>
      <w:r>
        <w:rPr>
          <w:b w:val="0"/>
          <w:i w:val="0"/>
        </w:rPr>
        <w:t>生益科技需要同时从「全球总量」和「高端结构」两个维度看。按公司年报引用的Prismark数据，生益科技2024年刚性覆铜板全球销售额排名第二，全球份额约13.7%。但在前述2024年无卤高速覆铜板统计口径中，生益的份额只有5.7%。这说明：生益的全球规模已经很强，但高端高速产品占比仍明显低于其总体CCL份额。</w:t>
      </w:r>
    </w:p>
    <w:p>
      <w:r>
        <w:rPr>
          <w:b w:val="0"/>
          <w:i w:val="0"/>
        </w:rPr>
        <w:t>2025年，生益科技明确表示此前在AI端进行的产品认证已经转化为实质订单，服务器订单持续上量。其覆铜板及粘结片业务实现收入约177.74亿元，同比增长20.17%，毛利率23.91%，提升2.39个百分点。</w:t>
      </w:r>
    </w:p>
    <w:p>
      <w:r>
        <w:rPr>
          <w:b w:val="0"/>
          <w:i w:val="0"/>
        </w:rPr>
        <w:t>对生益的判断不能再停留在「能否做高端」：已经能够进入AI服务器供应链并形成订单；但公开资料尚不足以证明其在全球最顶级M9平台中已取得与台光电或松下同等级别的份额。后续真正的估值抬升点，是高端高速材料收入占比，而不是普通CCL总销量。</w:t>
      </w:r>
    </w:p>
    <w:p>
      <w:r>
        <w:rPr>
          <w:b w:val="0"/>
          <w:i w:val="0"/>
        </w:rPr>
        <w:t>从大陆厂商中看，生益科技是目前最接近全球高端第一梯队的企业。南亚新材、华正新材、建滔等仍以局部项目、国产替代或中低端规模优势为主，暂时不能与台光电、松下的全球核心平台地位相提并论。</w:t>
      </w:r>
    </w:p>
    <w:p>
      <w:pPr>
        <w:pStyle w:val="Heading1"/>
      </w:pPr>
      <w:r>
        <w:rPr>
          <w:b w:val="0"/>
          <w:i w:val="0"/>
        </w:rPr>
        <w:t>三、中国大陆与台日厂商的差距究竟在哪里</w:t>
      </w:r>
    </w:p>
    <w:p>
      <w:r>
        <w:rPr>
          <w:b w:val="0"/>
          <w:i w:val="0"/>
        </w:rPr>
        <w:t>大陆厂商进入高端市场并不存在不可跨越的技术封锁，真正差距集中在五方面。</w:t>
      </w:r>
    </w:p>
    <w:p>
      <w:r>
        <w:rPr>
          <w:b/>
          <w:i w:val="0"/>
        </w:rPr>
        <w:t>第一，超低损耗配方和批次一致性。</w:t>
      </w:r>
      <w:r>
        <w:rPr>
          <w:b w:val="0"/>
          <w:i w:val="0"/>
        </w:rPr>
        <w:t xml:space="preserve"> 实验室做到较低Df并不等于量产稳定。高层数、大尺寸PCB对树脂流动性、玻纤浸润、尺寸稳定性、CAF、铜箔结合力和不同批次一致性的要求极高。</w:t>
      </w:r>
    </w:p>
    <w:p>
      <w:r>
        <w:rPr>
          <w:b/>
          <w:i w:val="0"/>
        </w:rPr>
        <w:t>第二，上游高端材料控制力。</w:t>
      </w:r>
      <w:r>
        <w:rPr>
          <w:b w:val="0"/>
          <w:i w:val="0"/>
        </w:rPr>
        <w:t xml:space="preserve"> 高端CCL依赖低损耗玻璃布、HVLP铜箔和特种树脂。TrendForce估计，玻璃布、铜箔和树脂分别约占CCL成本的19%、42%和26%；其中日东纺约占全球T-glass供应的90%，NER-glass供应的60%至70%，新增供应预计要到2027年中期以后才逐渐释放。</w:t>
      </w:r>
    </w:p>
    <w:p>
      <w:r>
        <w:rPr>
          <w:b/>
          <w:i w:val="0"/>
        </w:rPr>
        <w:t>第三，海外终端平台认证。</w:t>
      </w:r>
      <w:r>
        <w:rPr>
          <w:b w:val="0"/>
          <w:i w:val="0"/>
        </w:rPr>
        <w:t xml:space="preserve"> 国内服务器或交换机客户认证，与进入NVIDIA、北美云厂商和国际头部交换机平台不是同一难度。后者通常涉及材料、PCB厂、ODM和终端共同验证。</w:t>
      </w:r>
    </w:p>
    <w:p>
      <w:r>
        <w:rPr>
          <w:b/>
          <w:i w:val="0"/>
        </w:rPr>
        <w:t>第四，全球化制造能力。</w:t>
      </w:r>
      <w:r>
        <w:rPr>
          <w:b w:val="0"/>
          <w:i w:val="0"/>
        </w:rPr>
        <w:t xml:space="preserve"> 台光电、台燿、联茂及松下均在东南亚扩建产能，目的不仅是降成本，也是靠近台系PCB与服务器ODM、满足客户供应链多元化要求。</w:t>
      </w:r>
    </w:p>
    <w:p>
      <w:r>
        <w:rPr>
          <w:b/>
          <w:i w:val="0"/>
        </w:rPr>
        <w:t>第五，产品结构和盈利能力。</w:t>
      </w:r>
      <w:r>
        <w:rPr>
          <w:b w:val="0"/>
          <w:i w:val="0"/>
        </w:rPr>
        <w:t xml:space="preserve"> 一家公司的总CCL出货量很大，不代表其AI高端材料比例高。对生益、联茂等追赶者，应重点看高端产品占比和毛利率，而不能只看收入增长。</w:t>
      </w:r>
    </w:p>
    <w:p>
      <w:r>
        <w:rPr>
          <w:b w:val="0"/>
          <w:i w:val="0"/>
        </w:rPr>
        <w:t>综合判断：大陆CCL进入M8及AI服务器量产已被实际订单证明；但在全球顶级M9平台的大规模主供地位上，仍处于验证和份额爬升阶段。</w:t>
      </w:r>
    </w:p>
    <w:p>
      <w:pPr>
        <w:pStyle w:val="Heading1"/>
      </w:pPr>
      <w:r>
        <w:rPr>
          <w:b w:val="0"/>
          <w:i w:val="0"/>
        </w:rPr>
        <w:t>四、CCL会不会像HBM一样大规模涨价</w:t>
      </w:r>
    </w:p>
    <w:p>
      <w:r>
        <w:rPr>
          <w:b/>
          <w:i w:val="0"/>
        </w:rPr>
        <w:t>不会完全复制HBM，但高端CCL正在出现结构性紧缺和涨价。</w:t>
      </w:r>
    </w:p>
    <w:p>
      <w:r>
        <w:rPr>
          <w:b w:val="0"/>
          <w:i w:val="0"/>
        </w:rPr>
        <w:t>松下已宣布自2026年5月1日起调整价格：普通玻纤环氧CCL上涨约30%；普通粘结片上涨约20%；MEGTRON、XPEDION等低损耗CCL上涨约20%；对应低损耗粘结片上涨约15%。</w:t>
      </w:r>
    </w:p>
    <w:p>
      <w:r>
        <w:rPr>
          <w:b w:val="0"/>
          <w:i w:val="0"/>
        </w:rPr>
        <w:t>但这轮涨价更准确的性质是：原材料涨价传导＋高端产品升级＋局部产能紧张。</w:t>
      </w:r>
    </w:p>
    <w:p>
      <w:r>
        <w:rPr>
          <w:b w:val="0"/>
          <w:i w:val="0"/>
        </w:rPr>
        <w:t>与HBM相比，CCL厂商数量更多，产品存在第二供应商替代，制造工艺的资本和专利集中度也低于HBM。HBM的稀缺租金主要归属于少数存储原厂；CCL的部分涨价则可能被T-glass、低介电电子布和HVLP铜箔等上游拿走。</w:t>
      </w:r>
    </w:p>
    <w:p>
      <w:r>
        <w:rPr>
          <w:b w:val="0"/>
          <w:i w:val="0"/>
        </w:rPr>
        <w:t>所以真正具有投资价值的不是「所有CCL都涨价」，而是具备以下能力的公司：能拿到稀缺电子布和铜箔；能把原材料涨价转嫁给客户；高端产品占比持续上升；已进入AI平台量产；新产能投产后不明显稀释毛利率。</w:t>
      </w:r>
    </w:p>
    <w:p>
      <w:r>
        <w:rPr>
          <w:b w:val="0"/>
          <w:i w:val="0"/>
        </w:rPr>
        <w:t>台光电材料显示，其引用的机构预测认为2024—2027年高端CCL市场复合增速约40%，明显高于整体CCL约18%的增速。行业增量主要集中在高端产品，而非普通FR-4。</w:t>
      </w:r>
    </w:p>
    <w:p>
      <w:pPr>
        <w:pStyle w:val="Heading1"/>
      </w:pPr>
      <w:r>
        <w:rPr>
          <w:b w:val="0"/>
          <w:i w:val="0"/>
        </w:rPr>
        <w:t>五、投资排序</w:t>
      </w:r>
    </w:p>
    <w:p>
      <w:pPr>
        <w:pStyle w:val="Heading2"/>
      </w:pPr>
      <w:r>
        <w:rPr>
          <w:b w:val="0"/>
          <w:i w:val="0"/>
        </w:rPr>
        <w:t>1. 不考虑当前估值，只看产业护城河</w:t>
      </w:r>
    </w:p>
    <w:p>
      <w:r>
        <w:rPr>
          <w:b/>
          <w:i w:val="0"/>
        </w:rPr>
        <w:t>台光电 &gt; 松下 ≈ 台燿 &gt; 斗山 &gt; 联茂 ≈ 生益科技</w:t>
      </w:r>
    </w:p>
    <w:p>
      <w:r>
        <w:rPr>
          <w:b w:val="0"/>
          <w:i w:val="0"/>
        </w:rPr>
        <w:t>这里松下技术靠前，但并不意味着其股票投资吸引力靠前；生益总体规模很大，但高端AI材料份额仍需继续提升。</w:t>
      </w:r>
    </w:p>
    <w:p>
      <w:pPr>
        <w:pStyle w:val="Heading2"/>
      </w:pPr>
      <w:r>
        <w:rPr>
          <w:b w:val="0"/>
          <w:i w:val="0"/>
        </w:rPr>
        <w:t>2. 只看CCL业务纯度和AI利润弹性</w:t>
      </w:r>
    </w:p>
    <w:p>
      <w:r>
        <w:rPr>
          <w:b/>
          <w:i w:val="0"/>
        </w:rPr>
        <w:t>台光电 &gt; 台燿 &gt; 联茂 &gt; 生益科技 &gt; 松下/斗山</w:t>
      </w:r>
    </w:p>
    <w:p>
      <w:r>
        <w:rPr>
          <w:b w:val="0"/>
          <w:i w:val="0"/>
        </w:rPr>
        <w:t>台光电是高端产品、份额和客户认证最完整的组合；台燿是第二供应商和产品结构升级逻辑；联茂利润率低，因此既有修复弹性也有执行风险；生益科技同时包含普通CCL和PCB业务，AI弹性会被业务组合部分稀释。</w:t>
      </w:r>
    </w:p>
    <w:p>
      <w:pPr>
        <w:pStyle w:val="Heading2"/>
      </w:pPr>
      <w:r>
        <w:rPr>
          <w:b w:val="0"/>
          <w:i w:val="0"/>
        </w:rPr>
        <w:t>3. 按不同市场选择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全球只能选一家，忽略股价：台光电。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追求份额提升和利润弹性：台燿。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只投资A股：生益科技。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押注困境反转：联茂，但必须先看到毛利率回升。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松下和斗山适合作为产业验证指标，不是最佳纯CCL工具。</w:t>
      </w:r>
    </w:p>
    <w:p>
      <w:pPr>
        <w:pStyle w:val="Heading1"/>
      </w:pPr>
      <w:r>
        <w:rPr>
          <w:b w:val="0"/>
          <w:i w:val="0"/>
        </w:rPr>
        <w:t>六、未来12—24个月最关键的验证指标</w:t>
      </w:r>
    </w:p>
    <w:p>
      <w:r>
        <w:rPr>
          <w:b w:val="0"/>
          <w:i w:val="0"/>
        </w:rPr>
        <w:t>不能只跟踪「推出M9」「送样成功」这类新闻，应盯住五个硬指标：</w:t>
      </w:r>
    </w:p>
    <w:p>
      <w:pPr>
        <w:ind w:left="255" w:hanging="198"/>
      </w:pPr>
      <w:r>
        <w:t xml:space="preserve">1. </w:t>
      </w:r>
      <w:r>
        <w:rPr>
          <w:b/>
          <w:i w:val="0"/>
        </w:rPr>
        <w:t>M8/M9和224G材料是否形成批量收入</w:t>
      </w:r>
      <w:r>
        <w:rPr>
          <w:b w:val="0"/>
          <w:i w:val="0"/>
        </w:rPr>
        <w:t>，而不是仍处于认证阶段；</w:t>
      </w:r>
    </w:p>
    <w:p>
      <w:pPr>
        <w:ind w:left="255" w:hanging="198"/>
      </w:pPr>
      <w:r>
        <w:t xml:space="preserve">2. </w:t>
      </w:r>
      <w:r>
        <w:rPr>
          <w:b/>
          <w:i w:val="0"/>
        </w:rPr>
        <w:t>高端高速材料收入占比、ASP和毛利率是否同步上升</w:t>
      </w:r>
      <w:r>
        <w:rPr>
          <w:b w:val="0"/>
          <w:i w:val="0"/>
        </w:rPr>
        <w:t>；</w:t>
      </w:r>
    </w:p>
    <w:p>
      <w:pPr>
        <w:ind w:left="255" w:hanging="198"/>
      </w:pPr>
      <w:r>
        <w:t xml:space="preserve">3. </w:t>
      </w:r>
      <w:r>
        <w:rPr>
          <w:b/>
          <w:i w:val="0"/>
        </w:rPr>
        <w:t>玻璃布、HVLP铜箔涨价后能否顺利传导</w:t>
      </w:r>
      <w:r>
        <w:rPr>
          <w:b w:val="0"/>
          <w:i w:val="0"/>
        </w:rPr>
        <w:t>；</w:t>
      </w:r>
    </w:p>
    <w:p>
      <w:pPr>
        <w:ind w:left="255" w:hanging="198"/>
      </w:pPr>
      <w:r>
        <w:t xml:space="preserve">4. </w:t>
      </w:r>
      <w:r>
        <w:rPr>
          <w:b/>
          <w:i w:val="0"/>
        </w:rPr>
        <w:t>东南亚及中国新增产能的爬坡速度和良率</w:t>
      </w:r>
      <w:r>
        <w:rPr>
          <w:b w:val="0"/>
          <w:i w:val="0"/>
        </w:rPr>
        <w:t>；</w:t>
      </w:r>
    </w:p>
    <w:p>
      <w:pPr>
        <w:ind w:left="255" w:hanging="198"/>
      </w:pPr>
      <w:r>
        <w:t xml:space="preserve">5. </w:t>
      </w:r>
      <w:r>
        <w:rPr>
          <w:b/>
          <w:i w:val="0"/>
        </w:rPr>
        <w:t>2027—2028年大量新产能释放后，行业是否从短缺转向过剩。</w:t>
      </w:r>
    </w:p>
    <w:p>
      <w:r>
        <w:rPr>
          <w:b w:val="0"/>
          <w:i w:val="0"/>
        </w:rPr>
        <w:t>当前最大的中期风险并不是AI服务器需求突然消失，而是所有厂商同时扩产。松下、斗山、台燿、联茂都在增加海外产能，上游电子布产能也将在2027年后逐渐释放。一旦新增产能快于M9和1.6T需求兑现，CCL可能重新出现价格竞争。</w:t>
      </w:r>
    </w:p>
    <w:p>
      <w:r>
        <w:rPr>
          <w:b/>
          <w:i w:val="0"/>
        </w:rPr>
        <w:t>最终判断：CCL属于AI电子材料链中确定性较高的升级方向，但它不是第二个HBM。最有价值的是高端平台认证、产品结构升级和供应链卡位，而不是单纯押注全行业涨价。台光电是最强阿尔法，台燿是份额提升弹性，生益科技是大陆国产替代和全球化突破的核心观察标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ccl-ai-material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AI服务器CCL全球竞争格局：谁在真正供应高速材料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