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这次CPI的核心问题：AI牛市会不会遇到第二轮通胀冲击</w:t>
      </w:r>
    </w:p>
    <w:p>
      <w:pPr>
        <w:pStyle w:val="Caption"/>
      </w:pPr>
      <w:r>
        <w:t>原文日期 2026-06-11    文件生成 2026-09-12</w:t>
      </w:r>
    </w:p>
    <w:p>
      <w:hyperlink r:id="rId11">
        <w:r>
          <w:rPr>
            <w:color w:val="285B49"/>
            <w:u w:val="single"/>
          </w:rPr>
          <w:t>阅读网站原文</w:t>
        </w:r>
      </w:hyperlink>
    </w:p>
    <w:p>
      <w:pPr>
        <w:pStyle w:val="Caption"/>
      </w:pPr>
      <w:r>
        <w:t>离线阅读版保留原文观点与日期，不代表当前判断。来源链接可点击；网页的最新修订以原文为准。</w:t>
      </w:r>
    </w:p>
    <w:p>
      <w:r>
        <w:rPr>
          <w:b w:val="0"/>
          <w:i w:val="0"/>
        </w:rPr>
        <w:t>结合上周五纳指大跌（QQQ跌近5%，费半跌幅更大）一起看，这次CPI其实很有意思。</w:t>
      </w:r>
    </w:p>
    <w:p>
      <w:r>
        <w:rPr>
          <w:b w:val="0"/>
          <w:i w:val="0"/>
        </w:rPr>
        <w:t>市场上周五真正担心的不是博通财报，也不是某个公司业绩，而是：</w:t>
      </w:r>
      <w:r>
        <w:rPr>
          <w:b/>
          <w:i w:val="0"/>
        </w:rPr>
        <w:t>"AI牛市会不会遇到第二轮通胀冲击。"</w:t>
      </w:r>
    </w:p>
    <w:p>
      <w:r>
        <w:rPr>
          <w:b w:val="0"/>
          <w:i w:val="0"/>
        </w:rPr>
        <w:t>因为最近几周出现了几个危险信号：</w:t>
      </w:r>
    </w:p>
    <w:p>
      <w:pPr>
        <w:ind w:left="255" w:hanging="198"/>
      </w:pPr>
      <w:r>
        <w:t xml:space="preserve">• </w:t>
      </w:r>
      <w:r>
        <w:rPr>
          <w:b w:val="0"/>
          <w:i w:val="0"/>
        </w:rPr>
        <w:t>原油持续上涨</w:t>
      </w:r>
    </w:p>
    <w:p>
      <w:pPr>
        <w:ind w:left="255" w:hanging="198"/>
      </w:pPr>
      <w:r>
        <w:t xml:space="preserve">• </w:t>
      </w:r>
      <w:r>
        <w:rPr>
          <w:b w:val="0"/>
          <w:i w:val="0"/>
        </w:rPr>
        <w:t>CPI预期不断上修</w:t>
      </w:r>
    </w:p>
    <w:p>
      <w:pPr>
        <w:ind w:left="255" w:hanging="198"/>
      </w:pPr>
      <w:r>
        <w:t xml:space="preserve">• </w:t>
      </w:r>
      <w:r>
        <w:rPr>
          <w:b w:val="0"/>
          <w:i w:val="0"/>
        </w:rPr>
        <w:t>美债收益率反弹</w:t>
      </w:r>
    </w:p>
    <w:p>
      <w:pPr>
        <w:ind w:left="255" w:hanging="198"/>
      </w:pPr>
      <w:r>
        <w:t xml:space="preserve">• </w:t>
      </w:r>
      <w:r>
        <w:rPr>
          <w:b w:val="0"/>
          <w:i w:val="0"/>
        </w:rPr>
        <w:t>日本央行可能收紧</w:t>
      </w:r>
    </w:p>
    <w:p>
      <w:pPr>
        <w:ind w:left="255" w:hanging="198"/>
      </w:pPr>
      <w:r>
        <w:t xml:space="preserve">• </w:t>
      </w:r>
      <w:r>
        <w:rPr>
          <w:b w:val="0"/>
          <w:i w:val="0"/>
        </w:rPr>
        <w:t>AI板块估值已经很高</w:t>
      </w:r>
    </w:p>
    <w:p>
      <w:r>
        <w:rPr>
          <w:b w:val="0"/>
          <w:i w:val="0"/>
        </w:rPr>
        <w:t>所以资金提前撤退了一部分仓位。</w:t>
      </w:r>
    </w:p>
    <w:p>
      <w:r>
        <w:rPr>
          <w:b w:val="0"/>
          <w:i w:val="0"/>
        </w:rPr>
        <w:t>而今晚CPI出来后，市场发现：</w:t>
      </w:r>
      <w:r>
        <w:rPr>
          <w:b/>
          <w:i w:val="0"/>
        </w:rPr>
        <w:t>通胀确实回来了，但没有失控。</w:t>
      </w:r>
    </w:p>
    <w:p>
      <w:r>
        <w:rPr>
          <w:b w:val="0"/>
          <w:i w:val="0"/>
        </w:rPr>
        <w:t>这是两个完全不同的概念。</w:t>
      </w:r>
    </w:p>
    <w:p>
      <w:r>
        <w:rPr>
          <w:b w:val="0"/>
          <w:i w:val="0"/>
        </w:rPr>
        <w:t>如果今晚核心环比是0.4%-0.5%，市场会认为油价已经开始向服务业、工资端传导，那美联储后面会很麻烦。</w:t>
      </w:r>
    </w:p>
    <w:p>
      <w:r>
        <w:rPr>
          <w:b w:val="0"/>
          <w:i w:val="0"/>
        </w:rPr>
        <w:t>但实际只有0.2%。</w:t>
      </w:r>
    </w:p>
    <w:p>
      <w:r>
        <w:rPr>
          <w:b w:val="0"/>
          <w:i w:val="0"/>
        </w:rPr>
        <w:t>这说明：通胀上升主要还是能源问题，而不是经济过热问题。</w:t>
      </w:r>
    </w:p>
    <w:p>
      <w:r>
        <w:rPr>
          <w:b w:val="0"/>
          <w:i w:val="0"/>
        </w:rPr>
        <w:t>因此从交易角度看：上周五的大跌更像是一次"预防性去风险"，而不是趋势反转。</w:t>
      </w:r>
    </w:p>
    <w:p>
      <w:r>
        <w:rPr>
          <w:b w:val="0"/>
          <w:i w:val="0"/>
        </w:rPr>
        <w:t>这也是为什么前两天说，博通财报只是导火索，不是根本原因。</w:t>
      </w:r>
    </w:p>
    <w:p>
      <w:r>
        <w:rPr>
          <w:b w:val="0"/>
          <w:i w:val="0"/>
        </w:rPr>
        <w:t>真正原因是：市场在高位积累了大量盈利，而CPI、FOMC、日本央行这些事件集中到来，资金选择先降仓位。</w:t>
      </w:r>
    </w:p>
    <w:p>
      <w:r>
        <w:rPr>
          <w:b w:val="0"/>
          <w:i w:val="0"/>
        </w:rPr>
        <w:t>现在CPI落地后，第一颗雷拆掉了。</w:t>
      </w:r>
    </w:p>
    <w:p>
      <w:r>
        <w:rPr>
          <w:b w:val="0"/>
          <w:i w:val="0"/>
        </w:rPr>
        <w:t>接下来还剩两颗：</w:t>
      </w:r>
    </w:p>
    <w:p>
      <w:pPr>
        <w:ind w:left="255" w:hanging="198"/>
      </w:pPr>
      <w:r>
        <w:t xml:space="preserve">• </w:t>
      </w:r>
      <w:r>
        <w:rPr>
          <w:b/>
          <w:i w:val="0"/>
        </w:rPr>
        <w:t>6月17日 FOMC</w:t>
      </w:r>
    </w:p>
    <w:p>
      <w:pPr>
        <w:ind w:left="255" w:hanging="198"/>
      </w:pPr>
      <w:r>
        <w:t xml:space="preserve">• </w:t>
      </w:r>
      <w:r>
        <w:rPr>
          <w:b/>
          <w:i w:val="0"/>
        </w:rPr>
        <w:t>日本央行会议</w:t>
      </w:r>
    </w:p>
    <w:p>
      <w:r>
        <w:rPr>
          <w:b w:val="0"/>
          <w:i w:val="0"/>
        </w:rPr>
        <w:t>如果这两个也平稳过去，那么上周五那种级别的暴跌，很可能会被市场定义成：</w:t>
      </w:r>
      <w:r>
        <w:rPr>
          <w:b/>
          <w:i w:val="0"/>
        </w:rPr>
        <w:t>AI牛市中的一次健康去杠杆。</w:t>
      </w:r>
    </w:p>
    <w:p>
      <w:r>
        <w:rPr>
          <w:b w:val="0"/>
          <w:i w:val="0"/>
        </w:rPr>
        <w:t>对于一直跟踪的几个方向：</w:t>
      </w:r>
    </w:p>
    <w:p>
      <w:pPr>
        <w:ind w:left="255" w:hanging="198"/>
      </w:pPr>
      <w:r>
        <w:t xml:space="preserve">• </w:t>
      </w:r>
      <w:r>
        <w:rPr>
          <w:b w:val="0"/>
          <w:i w:val="0"/>
        </w:rPr>
        <w:t>DRAM</w:t>
      </w:r>
    </w:p>
    <w:p>
      <w:pPr>
        <w:ind w:left="255" w:hanging="198"/>
      </w:pPr>
      <w:r>
        <w:t xml:space="preserve">• </w:t>
      </w:r>
      <w:r>
        <w:rPr>
          <w:b w:val="0"/>
          <w:i w:val="0"/>
        </w:rPr>
        <w:t>HBM</w:t>
      </w:r>
    </w:p>
    <w:p>
      <w:pPr>
        <w:ind w:left="255" w:hanging="198"/>
      </w:pPr>
      <w:r>
        <w:t xml:space="preserve">• </w:t>
      </w:r>
      <w:r>
        <w:rPr>
          <w:b w:val="0"/>
          <w:i w:val="0"/>
        </w:rPr>
        <w:t>光通信</w:t>
      </w:r>
    </w:p>
    <w:p>
      <w:pPr>
        <w:ind w:left="255" w:hanging="198"/>
      </w:pPr>
      <w:r>
        <w:t xml:space="preserve">• </w:t>
      </w:r>
      <w:r>
        <w:rPr>
          <w:b w:val="0"/>
          <w:i w:val="0"/>
        </w:rPr>
        <w:t>AI Factory</w:t>
      </w:r>
    </w:p>
    <w:p>
      <w:r>
        <w:rPr>
          <w:b w:val="0"/>
          <w:i w:val="0"/>
        </w:rPr>
        <w:t>其实逻辑完全没变。</w:t>
      </w:r>
    </w:p>
    <w:p>
      <w:r>
        <w:rPr>
          <w:b w:val="0"/>
          <w:i w:val="0"/>
        </w:rPr>
        <w:t>过去几天跌的主要是估值，不是产业逻辑。</w:t>
      </w:r>
    </w:p>
    <w:p>
      <w:r>
        <w:rPr>
          <w:b w:val="0"/>
          <w:i w:val="0"/>
        </w:rPr>
        <w:t>看最近产业消息反而越来越强：</w:t>
      </w:r>
    </w:p>
    <w:p>
      <w:pPr>
        <w:ind w:left="255" w:hanging="198"/>
      </w:pPr>
      <w:r>
        <w:t xml:space="preserve">• </w:t>
      </w:r>
      <w:r>
        <w:rPr>
          <w:b w:val="0"/>
          <w:i w:val="0"/>
        </w:rPr>
        <w:t>Rubin量产推进</w:t>
      </w:r>
    </w:p>
    <w:p>
      <w:pPr>
        <w:ind w:left="255" w:hanging="198"/>
      </w:pPr>
      <w:r>
        <w:t xml:space="preserve">• </w:t>
      </w:r>
      <w:r>
        <w:rPr>
          <w:b w:val="0"/>
          <w:i w:val="0"/>
        </w:rPr>
        <w:t>台积电说AI需求仍供不应求</w:t>
      </w:r>
    </w:p>
    <w:p>
      <w:pPr>
        <w:ind w:left="255" w:hanging="198"/>
      </w:pPr>
      <w:r>
        <w:t xml:space="preserve">• </w:t>
      </w:r>
      <w:r>
        <w:rPr>
          <w:b w:val="0"/>
          <w:i w:val="0"/>
        </w:rPr>
        <w:t>黄仁勋说内存短缺持续多年</w:t>
      </w:r>
    </w:p>
    <w:p>
      <w:pPr>
        <w:ind w:left="255" w:hanging="198"/>
      </w:pPr>
      <w:r>
        <w:t xml:space="preserve">• </w:t>
      </w:r>
      <w:r>
        <w:rPr>
          <w:b w:val="0"/>
          <w:i w:val="0"/>
        </w:rPr>
        <w:t>Bernstein把NVL72内存成本占比上调到35%</w:t>
      </w:r>
    </w:p>
    <w:p>
      <w:pPr>
        <w:ind w:left="255" w:hanging="198"/>
      </w:pPr>
      <w:r>
        <w:t xml:space="preserve">• </w:t>
      </w:r>
      <w:r>
        <w:rPr>
          <w:b w:val="0"/>
          <w:i w:val="0"/>
        </w:rPr>
        <w:t>韩国6月上旬芯片出口+205%</w:t>
      </w:r>
    </w:p>
    <w:p>
      <w:r>
        <w:rPr>
          <w:b w:val="0"/>
          <w:i w:val="0"/>
        </w:rPr>
        <w:t>这些都是最近一直在研究的东西。</w:t>
      </w:r>
    </w:p>
    <w:p>
      <w:r>
        <w:rPr>
          <w:b w:val="0"/>
          <w:i w:val="0"/>
        </w:rPr>
        <w:t>所以这次CPI最大的意义不是"利好市场"，而是验证了一件事：</w:t>
      </w:r>
    </w:p>
    <w:p>
      <w:r>
        <w:rPr>
          <w:b/>
          <w:i w:val="0"/>
        </w:rPr>
        <w:t>上周五市场担心的最坏情况（通胀重新失控）暂时没有发生。</w:t>
      </w:r>
    </w:p>
    <w:p>
      <w:r>
        <w:rPr>
          <w:b w:val="0"/>
          <w:i w:val="0"/>
        </w:rPr>
        <w:t>如果后面FOMC不超预期鹰派，那么资金大概率会重新回到最近最强的两条主线：</w:t>
      </w:r>
    </w:p>
    <w:p>
      <w:r>
        <w:rPr>
          <w:b/>
          <w:i w:val="0"/>
        </w:rPr>
        <w:t>光（LITE、COHR、GLW、NOK）和存储（DRAM、MU、SK海力士）。</w:t>
      </w:r>
    </w:p>
    <w:p>
      <w:r>
        <w:rPr>
          <w:b w:val="0"/>
          <w:i w:val="0"/>
        </w:rPr>
        <w:t>而这恰恰也是目前仓位最重的两个方向。</w:t>
      </w:r>
    </w:p>
    <w:p>
      <w:r>
        <w:rPr>
          <w:b w:val="0"/>
          <w:i w:val="0"/>
        </w:rPr>
        <w:t>从这个角度看，这份CPI对于组合，比对于标普500本身更重要。因为它直接影响成长股和AI链的估值压力，而不是传统价值股的盈利能力。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077" w:right="1247" w:bottom="1020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sz w:val="16"/>
      </w:rPr>
      <w:t xml:space="preserve">XXY Alpha  · 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Caption"/>
    </w:pPr>
    <w:r>
      <w:rPr>
        <w:color w:val="68736B"/>
      </w:rPr>
      <w:t>XXY Alpha  /  Leslie 的研究笔记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line="380" w:lineRule="exact" w:after="160"/>
    </w:pPr>
    <w:rPr>
      <w:rFonts w:ascii="Arial Unicode MS" w:hAnsi="Arial Unicode MS" w:eastAsia="Arial Unicode MS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Arial Unicode MS" w:hAnsi="Arial Unicode MS" w:eastAsia="Arial Unicode MS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rFonts w:ascii="Arial Unicode MS" w:hAnsi="Arial Unicode MS" w:eastAsia="Arial Unicode MS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Arial Unicode MS" w:hAnsi="Arial Unicode MS" w:eastAsia="Arial Unicode MS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rFonts w:ascii="Arial Unicode MS" w:hAnsi="Arial Unicode MS" w:eastAsia="Arial Unicode MS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60"/>
      <w:outlineLvl w:val="0"/>
    </w:pPr>
    <w:rPr>
      <w:rFonts w:ascii="Arial Unicode MS" w:hAnsi="Arial Unicode MS" w:eastAsia="Arial Unicode MS"/>
      <w:b/>
      <w:bCs/>
      <w:color w:val="285B49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60"/>
      <w:outlineLvl w:val="1"/>
    </w:pPr>
    <w:rPr>
      <w:rFonts w:ascii="Arial Unicode MS" w:hAnsi="Arial Unicode MS" w:eastAsia="Arial Unicode MS"/>
      <w:b/>
      <w:bCs/>
      <w:color w:val="285B49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80" w:after="160"/>
      <w:outlineLvl w:val="2"/>
    </w:pPr>
    <w:rPr>
      <w:rFonts w:ascii="Arial Unicode MS" w:hAnsi="Arial Unicode MS" w:eastAsia="Arial Unicode MS"/>
      <w:b/>
      <w:bCs/>
      <w:color w:val="285B49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="Arial Unicode MS" w:hAnsi="Arial Unicode MS" w:eastAsia="Arial Unicode MS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="Arial Unicode MS" w:hAnsi="Arial Unicode MS" w:eastAsia="Arial Unicode MS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="Arial Unicode MS" w:hAnsi="Arial Unicode MS" w:eastAsia="Arial Unicode MS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="Arial Unicode MS" w:hAnsi="Arial Unicode MS" w:eastAsia="Arial Unicode MS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="Arial Unicode MS" w:hAnsi="Arial Unicode MS" w:eastAsia="Arial Unicode MS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="Arial Unicode MS" w:hAnsi="Arial Unicode MS" w:eastAsia="Arial Unicode MS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  <w:rPr>
      <w:rFonts w:ascii="Arial Unicode MS" w:hAnsi="Arial Unicode MS" w:eastAsia="Arial Unicode MS"/>
    </w:rPr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rFonts w:ascii="Arial Unicode MS" w:hAnsi="Arial Unicode MS" w:eastAsia="Arial Unicode MS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="Arial Unicode MS" w:hAnsi="Arial Unicode MS" w:eastAsia="Arial Unicode MS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="Arial Unicode MS" w:hAnsi="Arial Unicode MS" w:eastAsia="Arial Unicode MS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="Arial Unicode MS" w:hAnsi="Arial Unicode MS" w:eastAsia="Arial Unicode MS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160" w:line="240" w:lineRule="auto" w:before="0"/>
      <w:contextualSpacing/>
    </w:pPr>
    <w:rPr>
      <w:rFonts w:ascii="Arial Unicode MS" w:hAnsi="Arial Unicode MS" w:eastAsia="Arial Unicode MS"/>
      <w:color w:val="000000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="Arial Unicode MS" w:hAnsi="Arial Unicode MS" w:eastAsia="Arial Unicode MS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="Arial Unicode MS" w:hAnsi="Arial Unicode MS" w:eastAsia="Arial Unicode MS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="Arial Unicode MS" w:hAnsi="Arial Unicode MS" w:eastAsia="Arial Unicode MS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rFonts w:ascii="Arial Unicode MS" w:hAnsi="Arial Unicode MS" w:eastAsia="Arial Unicode MS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rFonts w:ascii="Arial Unicode MS" w:hAnsi="Arial Unicode MS" w:eastAsia="Arial Unicode MS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rFonts w:ascii="Arial Unicode MS" w:hAnsi="Arial Unicode MS" w:eastAsia="Arial Unicode MS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rFonts w:ascii="Arial Unicode MS" w:hAnsi="Arial Unicode MS" w:eastAsia="Arial Unicode MS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rFonts w:ascii="Arial Unicode MS" w:hAnsi="Arial Unicode MS" w:eastAsia="Arial Unicode MS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rFonts w:ascii="Arial Unicode MS" w:hAnsi="Arial Unicode MS" w:eastAsia="Arial Unicode MS"/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rFonts w:ascii="Arial Unicode MS" w:hAnsi="Arial Unicode MS" w:eastAsia="Arial Unicode MS"/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rFonts w:ascii="Arial Unicode MS" w:hAnsi="Arial Unicode MS" w:eastAsia="Arial Unicode MS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rFonts w:ascii="Arial Unicode MS" w:hAnsi="Arial Unicode MS" w:eastAsia="Arial Unicode MS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rFonts w:ascii="Arial Unicode MS" w:hAnsi="Arial Unicode MS" w:eastAsia="Arial Unicode MS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Arial Unicode MS" w:hAnsi="Arial Unicode MS" w:eastAsia="Arial Unicode MS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rFonts w:ascii="Arial Unicode MS" w:hAnsi="Arial Unicode MS" w:eastAsia="Arial Unicode MS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rFonts w:ascii="Arial Unicode MS" w:hAnsi="Arial Unicode MS" w:eastAsia="Arial Unicode MS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Arial Unicode MS" w:hAnsi="Arial Unicode MS" w:eastAsia="Arial Unicode MS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rFonts w:ascii="Arial Unicode MS" w:hAnsi="Arial Unicode MS" w:eastAsia="Arial Unicode MS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rFonts w:ascii="Arial Unicode MS" w:hAnsi="Arial Unicode MS" w:eastAsia="Arial Unicode MS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rFonts w:ascii="Arial Unicode MS" w:hAnsi="Arial Unicode MS" w:eastAsia="Arial Unicode MS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rFonts w:ascii="Arial Unicode MS" w:hAnsi="Arial Unicode MS" w:eastAsia="Arial Unicode MS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rFonts w:ascii="Arial Unicode MS" w:hAnsi="Arial Unicode MS" w:eastAsia="Arial Unicode MS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Arial Unicode MS" w:hAnsi="Arial Unicode MS" w:eastAsia="Arial Unicode MS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Arial Unicode MS" w:hAnsi="Arial Unicode MS" w:eastAsia="Arial Unicode MS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rFonts w:ascii="Arial Unicode MS" w:hAnsi="Arial Unicode MS" w:eastAsia="Arial Unicode MS"/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rFonts w:ascii="Arial Unicode MS" w:hAnsi="Arial Unicode MS" w:eastAsia="Arial Unicode MS"/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="Arial Unicode MS" w:hAnsi="Arial Unicode MS" w:eastAsia="Arial Unicode MS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="Arial Unicode MS" w:hAnsi="Arial Unicode MS" w:eastAsia="Arial Unicode MS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="Arial Unicode MS" w:hAnsi="Arial Unicode MS" w:eastAsia="Arial Unicode MS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="Arial Unicode MS" w:hAnsi="Arial Unicode MS" w:eastAsia="Arial Unicode MS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="Arial Unicode MS" w:hAnsi="Arial Unicode MS" w:eastAsia="Arial Unicode MS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="Arial Unicode MS" w:hAnsi="Arial Unicode MS" w:eastAsia="Arial Unicode MS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80" w:lineRule="exact"/>
    </w:pPr>
    <w:rPr>
      <w:rFonts w:ascii="Arial Unicode MS" w:hAnsi="Arial Unicode MS" w:eastAsia="Arial Unicode MS"/>
      <w:b w:val="0"/>
      <w:bCs/>
      <w:color w:val="68736B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rFonts w:ascii="Arial Unicode MS" w:hAnsi="Arial Unicode MS" w:eastAsia="Arial Unicode MS"/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rFonts w:ascii="Arial Unicode MS" w:hAnsi="Arial Unicode MS" w:eastAsia="Arial Unicode MS"/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rFonts w:ascii="Arial Unicode MS" w:hAnsi="Arial Unicode MS" w:eastAsia="Arial Unicode MS"/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rFonts w:ascii="Arial Unicode MS" w:hAnsi="Arial Unicode MS" w:eastAsia="Arial Unicode MS"/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rFonts w:ascii="Arial Unicode MS" w:hAnsi="Arial Unicode MS" w:eastAsia="Arial Unicode MS"/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rFonts w:ascii="Arial Unicode MS" w:hAnsi="Arial Unicode MS" w:eastAsia="Arial Unicode MS"/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rFonts w:ascii="Arial Unicode MS" w:hAnsi="Arial Unicode MS" w:eastAsia="Arial Unicode MS"/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rFonts w:ascii="Arial Unicode MS" w:hAnsi="Arial Unicode MS" w:eastAsia="Arial Unicode MS"/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rFonts w:ascii="Arial Unicode MS" w:hAnsi="Arial Unicode MS" w:eastAsia="Arial Unicode MS"/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rFonts w:ascii="Arial Unicode MS" w:hAnsi="Arial Unicode MS" w:eastAsia="Arial Unicode MS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yperlink" Target="https://www.xxyalpha.cn/articles/cpi-round-two-analysis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这次CPI的核心问题：AI牛市会不会遇到第二轮通胀冲击</dc:title>
  <dc:subject>历史研究文章离线阅读版</dc:subject>
  <dc:creator>XXY Alpha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