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 vs COHR 光通信双雄：谁的基本面弹性更强？</w:t>
      </w:r>
    </w:p>
    <w:p>
      <w:pPr>
        <w:pStyle w:val="Caption"/>
      </w:pPr>
      <w:r>
        <w:t>原文日期 2026-06-19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结论先行</w:t>
      </w:r>
    </w:p>
    <w:p>
      <w:r>
        <w:rPr>
          <w:b w:val="0"/>
          <w:i w:val="0"/>
        </w:rPr>
        <w:t>截至6月18日收盘，LITE报850美元、下跌约2.3%；COHR报389.57美元、上涨约2.9%。近期COHR明显强于LITE，主要是市场在交易"美国本土制造+英伟达合作+6英寸InP扩产"的新催化；LITE则面临可转债换股带来的短期筹码供给。但从最新财报增速、利润率和2027财年估值看，</w:t>
      </w:r>
      <w:r>
        <w:rPr>
          <w:b/>
          <w:i w:val="0"/>
        </w:rPr>
        <w:t>LITE的基本面弹性仍强于COHR，当前相对弱势尚不能定义为逻辑破坏。</w:t>
      </w:r>
    </w:p>
    <w:p>
      <w:pPr>
        <w:pStyle w:val="Heading1"/>
      </w:pPr>
      <w:r>
        <w:rPr>
          <w:b w:val="0"/>
          <w:i w:val="0"/>
        </w:rPr>
        <w:t>一、最新核心信息对比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指标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LITE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COHR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最新季度收入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8.08亿美元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18.06亿美元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同比增长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+90.1%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+20.5%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环比增长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+21.5%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+7.1%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Non-GAAP毛利率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47.9%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39.6%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Non-GAAP营业利润率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32.2%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20.3%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Non-GAAP EPS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2.37美元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1.41美元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下季度收入指引中值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9.85亿美元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19.8亿美元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隐含环比增长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约21.8%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约9.6%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LITE不仅收入增长更快，利润率扩张也更明显。其第四财季指引为收入9.60亿—10.10亿美元、Non-GAAP营业利润率35%—36%、EPS 2.85—3.05美元，意味着高速增长尚未明显降速。公司认为后续OCS、CPO和高功率激光器将继续提升盈利能力。</w:t>
      </w:r>
    </w:p>
    <w:p>
      <w:r>
        <w:rPr>
          <w:b w:val="0"/>
          <w:i w:val="0"/>
        </w:rPr>
        <w:t>COHR第三财季收入18.06亿美元，数据中心与通信业务是主要增长来源；第四财季指引为收入19.1亿—20.5亿美元、Non-GAAP毛利率39%—41%、EPS 1.52—1.72美元。趋势同样强，但财务弹性暂时不及LITE。</w:t>
      </w:r>
    </w:p>
    <w:p>
      <w:pPr>
        <w:pStyle w:val="Heading1"/>
      </w:pPr>
      <w:r>
        <w:rPr>
          <w:b w:val="0"/>
          <w:i w:val="0"/>
        </w:rPr>
        <w:t>二、为什么近期COHR明显更强</w:t>
      </w:r>
    </w:p>
    <w:p>
      <w:r>
        <w:rPr>
          <w:b w:val="0"/>
          <w:i w:val="0"/>
        </w:rPr>
        <w:t>6月16日，COHR在得州Sherman正式启动InP制造设施扩建，重点扩大6英寸InP晶圆、激光器及光子器件产能，并获得最高5000万美元CHIPS法案拟议直接补贴。英伟达直接参与宣传和奠基活动，项目完成后预计新增超过1000个直接及间接岗位，其中超过550个为先进制造、工程及技术岗位。</w:t>
      </w:r>
    </w:p>
    <w:p>
      <w:r>
        <w:rPr>
          <w:b w:val="0"/>
          <w:i w:val="0"/>
        </w:rPr>
        <w:t>这件事对COHR有三层意义：</w:t>
      </w:r>
    </w:p>
    <w:p>
      <w:r>
        <w:rPr>
          <w:b/>
          <w:i w:val="0"/>
        </w:rPr>
        <w:t>第一，产业地位被英伟达再次确认。</w:t>
      </w:r>
      <w:r>
        <w:rPr>
          <w:b w:val="0"/>
          <w:i w:val="0"/>
        </w:rPr>
        <w:t xml:space="preserve"> 不只是普通供应商，而是英伟达未来Scale-up、CPO和高速光互联产能规划的一部分。</w:t>
      </w:r>
    </w:p>
    <w:p>
      <w:r>
        <w:rPr>
          <w:b/>
          <w:i w:val="0"/>
        </w:rPr>
        <w:t>第二，6英寸InP是潜在成本曲线变化。</w:t>
      </w:r>
      <w:r>
        <w:rPr>
          <w:b w:val="0"/>
          <w:i w:val="0"/>
        </w:rPr>
        <w:t xml:space="preserve"> 若良率、器件性能和客户认证顺利，单片晶圆可产出更多芯片，COHR有机会同时提升产量和毛利率。</w:t>
      </w:r>
    </w:p>
    <w:p>
      <w:r>
        <w:rPr>
          <w:b/>
          <w:i w:val="0"/>
        </w:rPr>
        <w:t>第三，美国本土高端制造溢价。</w:t>
      </w:r>
      <w:r>
        <w:rPr>
          <w:b w:val="0"/>
          <w:i w:val="0"/>
        </w:rPr>
        <w:t xml:space="preserve"> CHIPS补贴、就业和供应链安全叙事，使COHR短期更容易获得机构增量资金。</w:t>
      </w:r>
    </w:p>
    <w:p>
      <w:r>
        <w:rPr>
          <w:b w:val="0"/>
          <w:i w:val="0"/>
        </w:rPr>
        <w:t>但要注意，奠基不等于马上形成收入。真正影响利润表还要经过设备进场、工艺调试、良率爬坡和客户认证。因此这更像是</w:t>
      </w:r>
      <w:r>
        <w:rPr>
          <w:b/>
          <w:i w:val="0"/>
        </w:rPr>
        <w:t>中期估值催化，而不是下一季度业绩突然上修的依据。</w:t>
      </w:r>
    </w:p>
    <w:p>
      <w:pPr>
        <w:pStyle w:val="Heading1"/>
      </w:pPr>
      <w:r>
        <w:rPr>
          <w:b w:val="0"/>
          <w:i w:val="0"/>
        </w:rPr>
        <w:t>三、LITE近期为何偏弱</w:t>
      </w:r>
    </w:p>
    <w:p>
      <w:r>
        <w:rPr>
          <w:b w:val="0"/>
          <w:i w:val="0"/>
        </w:rPr>
        <w:t>LITE于5月底与债券持有人达成换股安排，以约500万股普通股交换并注销约6.504亿美元的2028年可转债，净增量稀释约80万股，交易后该批可转债剩余约1.722亿美元。公司没有获得现金。</w:t>
      </w:r>
    </w:p>
    <w:p>
      <w:r>
        <w:rPr>
          <w:b w:val="0"/>
          <w:i w:val="0"/>
        </w:rPr>
        <w:t>从基本面看，这是降低潜在债务和简化资本结构；但从交易层面看，约500万股交付给原债券持有人，容易形成套保解除、套利盘兑现和短期股票供给。因此近期LITE弱于COHR，较合理的解释是：</w:t>
      </w:r>
    </w:p>
    <w:p>
      <w:r>
        <w:rPr>
          <w:b/>
          <w:i w:val="0"/>
        </w:rPr>
        <w:t>COHR出现了新的正面叙事催化，而LITE出现了阶段性筹码压力。</w:t>
      </w:r>
    </w:p>
    <w:p>
      <w:r>
        <w:rPr>
          <w:b w:val="0"/>
          <w:i w:val="0"/>
        </w:rPr>
        <w:t>这并不等同于LITE订单、技术或盈利能力恶化。相反，LITE最新季度毛利率和营业利润率仍显著领先。</w:t>
      </w:r>
    </w:p>
    <w:p>
      <w:pPr>
        <w:pStyle w:val="Heading1"/>
      </w:pPr>
      <w:r>
        <w:rPr>
          <w:b w:val="0"/>
          <w:i w:val="0"/>
        </w:rPr>
        <w:t>四、投行和分析师最新判断</w:t>
      </w:r>
    </w:p>
    <w:p>
      <w:pPr>
        <w:pStyle w:val="Heading2"/>
      </w:pPr>
      <w:r>
        <w:rPr>
          <w:b w:val="0"/>
          <w:i w:val="0"/>
        </w:rPr>
        <w:t>LITE：整体仍明显偏多，但估值分歧扩大</w:t>
      </w:r>
    </w:p>
    <w:p>
      <w:r>
        <w:rPr>
          <w:b w:val="0"/>
          <w:i w:val="0"/>
        </w:rPr>
        <w:t>近期公开目标价中，Needham维持买入和1040美元目标价；摩根大通为1130美元，Stifel为1100美元，Rosenblatt最激进，上调至1300美元；Barclays、UBS和摩根士丹利虽然偏中性，但目标价分别约1000、960和900美元。Rosenblatt认为LITE有望达到或超过2026年底单季度12.5亿美元收入、2027年底单季度20亿美元收入的长期目标，且利润率进展领先此前预期。</w:t>
      </w:r>
    </w:p>
    <w:p>
      <w:r>
        <w:rPr>
          <w:b w:val="0"/>
          <w:i w:val="0"/>
        </w:rPr>
        <w:t>这意味着，以850美元计算：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中性目标900—1000美元，上行约6%—18%；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主流多头目标1040—1130美元，上行约22%—33%；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Rosenblatt牛市目标1300美元，上行约53%。</w:t>
      </w:r>
    </w:p>
    <w:p>
      <w:pPr>
        <w:pStyle w:val="Heading2"/>
      </w:pPr>
      <w:r>
        <w:rPr>
          <w:b w:val="0"/>
          <w:i w:val="0"/>
        </w:rPr>
        <w:t>COHR：评级同样偏多，但当前价格已接近多数目标价</w:t>
      </w:r>
    </w:p>
    <w:p>
      <w:r>
        <w:rPr>
          <w:b w:val="0"/>
          <w:i w:val="0"/>
        </w:rPr>
        <w:t>Rosenblatt在财报后将目标价从375美元上调至425美元，理由包括1.6T收发器、OCS增长、6英寸InP EML产量提升以及毛利率改善；Stifel目标价412美元，TD Cowen最新目标价395美元，部分更积极机构目标约420—455美元。</w:t>
      </w:r>
    </w:p>
    <w:p>
      <w:r>
        <w:rPr>
          <w:b w:val="0"/>
          <w:i w:val="0"/>
        </w:rPr>
        <w:t>以389.57美元计算：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TD Cowen的395美元几乎没有空间；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Stifel的412美元对应约6%上行；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Rosenblatt的425美元对应约9%上行；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较激进的455美元对应约17%上行。</w:t>
      </w:r>
    </w:p>
    <w:p>
      <w:r>
        <w:rPr>
          <w:b w:val="0"/>
          <w:i w:val="0"/>
        </w:rPr>
        <w:t>所以，</w:t>
      </w:r>
      <w:r>
        <w:rPr>
          <w:b/>
          <w:i w:val="0"/>
        </w:rPr>
        <w:t>COHR当前价格已经消化了相当一部分Sherman扩产和英伟达合作预期。</w:t>
      </w:r>
    </w:p>
    <w:p>
      <w:pPr>
        <w:pStyle w:val="Heading1"/>
      </w:pPr>
      <w:r>
        <w:rPr>
          <w:b w:val="0"/>
          <w:i w:val="0"/>
        </w:rPr>
        <w:t>五、估值：两者其实差不多贵</w:t>
      </w:r>
    </w:p>
    <w:p>
      <w:r>
        <w:rPr>
          <w:b w:val="0"/>
          <w:i w:val="0"/>
        </w:rPr>
        <w:t>市场目前对LITE的2027财年EPS一致预期约18.53美元，对COHR约8.29美元。按当前价格计算：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LITE：约45.9倍FY2027市盈率；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COHR：约47.0倍FY2027市盈率。</w:t>
      </w:r>
    </w:p>
    <w:p>
      <w:r>
        <w:rPr>
          <w:b w:val="0"/>
          <w:i w:val="0"/>
        </w:rPr>
        <w:t>也就是说，COHR并没有因为业务更加多元而明显便宜；两者估值已经基本处于同一档次，但LITE目前的收入增速、毛利率、营业利润率及下一季度环比增速均更高。</w:t>
      </w:r>
    </w:p>
    <w:p>
      <w:r>
        <w:rPr>
          <w:b w:val="0"/>
          <w:i w:val="0"/>
        </w:rPr>
        <w:t>这也是我目前仍把</w:t>
      </w:r>
      <w:r>
        <w:rPr>
          <w:b/>
          <w:i w:val="0"/>
        </w:rPr>
        <w:t>LITE基本面性价比排在COHR之前</w:t>
      </w:r>
      <w:r>
        <w:rPr>
          <w:b w:val="0"/>
          <w:i w:val="0"/>
        </w:rPr>
        <w:t>的主要原因。</w:t>
      </w:r>
    </w:p>
    <w:p>
      <w:pPr>
        <w:pStyle w:val="Heading1"/>
      </w:pPr>
      <w:r>
        <w:rPr>
          <w:b w:val="0"/>
          <w:i w:val="0"/>
        </w:rPr>
        <w:t>六、行业层面：COHR扩产不等于光芯片马上过剩</w:t>
      </w:r>
    </w:p>
    <w:p>
      <w:r>
        <w:rPr>
          <w:b w:val="0"/>
          <w:i w:val="0"/>
        </w:rPr>
        <w:t>Rosenblatt的供应需求模型认为，全球相关光器件产能即使从2025年至2030年扩张约12倍，仍可能较AI数据中心需求低约50%。同时，InP衬底、晶圆和上游原材料供应仍然紧张，中国出口限制也增加了供应链不确定性。</w:t>
      </w:r>
    </w:p>
    <w:p>
      <w:r>
        <w:rPr>
          <w:b w:val="0"/>
          <w:i w:val="0"/>
        </w:rPr>
        <w:t>因此，COHR扩产更可能代表：</w:t>
      </w:r>
    </w:p>
    <w:p>
      <w:r>
        <w:rPr>
          <w:b/>
          <w:i w:val="0"/>
        </w:rPr>
        <w:t>行业需求足够大，需要LITE和COHR同时扩产，而不是COHR新增产能立即把LITE挤出市场。</w:t>
      </w:r>
    </w:p>
    <w:p>
      <w:r>
        <w:rPr>
          <w:b w:val="0"/>
          <w:i w:val="0"/>
        </w:rPr>
        <w:t>中期真正需要观察的是COHR的6英寸InP良率和客户认证。如果COHR能以更低成本生产达到同等性能的EML、CW激光器，才会逐渐削弱LITE目前的稀缺性和定价权。这是2027—2028年的竞争变量，不是当前季度已经发生的利润冲击。</w:t>
      </w:r>
    </w:p>
    <w:p>
      <w:pPr>
        <w:pStyle w:val="Heading1"/>
      </w:pPr>
      <w:r>
        <w:rPr>
          <w:b w:val="0"/>
          <w:i w:val="0"/>
        </w:rPr>
        <w:t>七、投资结论</w:t>
      </w:r>
    </w:p>
    <w:p>
      <w:r>
        <w:rPr>
          <w:b/>
          <w:i w:val="0"/>
        </w:rPr>
        <w:t>基本面排序：LITE &gt; COHR。</w:t>
      </w:r>
      <w:r>
        <w:rPr>
          <w:b w:val="0"/>
          <w:i w:val="0"/>
        </w:rPr>
        <w:t xml:space="preserve"> LITE目前增速更快、利润率更高、经营杠杆更强，而且公开投行目标价距离现价更远。</w:t>
      </w:r>
    </w:p>
    <w:p>
      <w:r>
        <w:rPr>
          <w:b/>
          <w:i w:val="0"/>
        </w:rPr>
        <w:t>短期股价动量：COHR &gt; LITE。</w:t>
      </w:r>
      <w:r>
        <w:rPr>
          <w:b w:val="0"/>
          <w:i w:val="0"/>
        </w:rPr>
        <w:t xml:space="preserve"> COHR有新工厂、CHIPS补贴、英伟达现场背书和美国制造叙事；LITE则受可转债换股及获利盘压力影响。</w:t>
      </w:r>
    </w:p>
    <w:p>
      <w:r>
        <w:rPr>
          <w:b/>
          <w:i w:val="0"/>
        </w:rPr>
        <w:t>风险收益比：现价更偏向LITE。</w:t>
      </w:r>
      <w:r>
        <w:rPr>
          <w:b w:val="0"/>
          <w:i w:val="0"/>
        </w:rPr>
        <w:t xml:space="preserve"> COHR接近多数投行目标价，继续上涨需要Sherman扩产迅速转化为更高收入或毛利率；LITE虽然波动更大，但只要Q4收入、OCS和CPO兑现，仍有更大的盈利预测上修空间。</w:t>
      </w:r>
    </w:p>
    <w:p>
      <w:r>
        <w:rPr>
          <w:b w:val="0"/>
          <w:i w:val="0"/>
        </w:rPr>
        <w:t>结合你目前持有的是LITX而非LITE正股，我的操作倾向是：</w:t>
      </w:r>
    </w:p>
    <w:p>
      <w:r>
        <w:rPr>
          <w:b/>
          <w:i w:val="0"/>
        </w:rPr>
        <w:t>不因为最近几天COHR更强，就把LITE逻辑判定为失败或追涨切换。LITX维持交易仓、不继续扩大杠杆；若新增光互联底仓，可等COHR回撤后用正股配置。二选一新增中期仓位，我会选LITE正股，而不是继续加LITX。</w:t>
      </w:r>
    </w:p>
    <w:p>
      <w:r>
        <w:rPr>
          <w:b w:val="0"/>
          <w:i w:val="0"/>
        </w:rPr>
        <w:t>东山精密及索尔思的扩产会增加模块端竞争，但LITE当前更核心的价值来自InP激光芯片、OCS、CPO激光源及高毛利器件，并非单纯依赖传统光模块组装，所以暂时不能把该扩产直接视为LITE重大基本面利空。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lite-vs-cohr-optical-showdow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 vs COHR 光通信双雄：谁的基本面弹性更强？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