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美光FY2026 Q3财报及电话会深度分析</w:t>
      </w:r>
    </w:p>
    <w:p>
      <w:pPr>
        <w:pStyle w:val="Caption"/>
      </w:pPr>
      <w:r>
        <w:t>原文日期 2026-06-25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pPr>
        <w:pStyle w:val="Heading1"/>
      </w:pPr>
      <w:r>
        <w:rPr>
          <w:b w:val="0"/>
          <w:i w:val="0"/>
        </w:rPr>
        <w:t>核心结论</w:t>
      </w:r>
    </w:p>
    <w:p>
      <w:r>
        <w:rPr>
          <w:b w:val="0"/>
          <w:i w:val="0"/>
        </w:rPr>
        <w:t>这是一份</w:t>
      </w:r>
      <w:r>
        <w:rPr>
          <w:b/>
          <w:i w:val="0"/>
        </w:rPr>
        <w:t>系统性超预期</w:t>
      </w:r>
      <w:r>
        <w:rPr>
          <w:b w:val="0"/>
          <w:i w:val="0"/>
        </w:rPr>
        <w:t>的财报，不只是HBM销量强，而是三条逻辑同时被强化：</w:t>
      </w:r>
    </w:p>
    <w:p>
      <w:pPr>
        <w:ind w:left="255" w:hanging="198"/>
      </w:pPr>
      <w:r>
        <w:t xml:space="preserve">1. </w:t>
      </w:r>
      <w:r>
        <w:rPr>
          <w:b/>
          <w:i w:val="0"/>
        </w:rPr>
        <w:t>DRAM、NAND价格涨幅远超市场预期</w:t>
      </w:r>
      <w:r>
        <w:rPr>
          <w:b w:val="0"/>
          <w:i w:val="0"/>
        </w:rPr>
        <w:t>，推动利润率进入历史上从未出现过的水平；</w:t>
      </w:r>
    </w:p>
    <w:p>
      <w:pPr>
        <w:ind w:left="255" w:hanging="198"/>
      </w:pPr>
      <w:r>
        <w:t xml:space="preserve">2. </w:t>
      </w:r>
      <w:r>
        <w:rPr>
          <w:b/>
          <w:i w:val="0"/>
        </w:rPr>
        <w:t>供需紧张被正式延长至2027年之后</w:t>
      </w:r>
      <w:r>
        <w:rPr>
          <w:b w:val="0"/>
          <w:i w:val="0"/>
        </w:rPr>
        <w:t>，2028年新增产能也未必能弥合缺口；</w:t>
      </w:r>
    </w:p>
    <w:p>
      <w:pPr>
        <w:ind w:left="255" w:hanging="198"/>
      </w:pPr>
      <w:r>
        <w:t xml:space="preserve">3. </w:t>
      </w:r>
      <w:r>
        <w:rPr>
          <w:b w:val="0"/>
          <w:i w:val="0"/>
        </w:rPr>
        <w:t>美光通过五年期、不可取消的战略客户协议，把传统存储周期股部分改造成了具有收入下限、价格下限和客户押金的"准合同制造"模式。</w:t>
      </w:r>
    </w:p>
    <w:p>
      <w:r>
        <w:rPr>
          <w:b w:val="0"/>
          <w:i w:val="0"/>
        </w:rPr>
        <w:t>但需要看到：Q3增长主要由ASP而非出货量驱动，Q4价格涨幅已经开始减速。现在最大的风险已不再是本轮周期突然结束，而是</w:t>
      </w:r>
      <w:r>
        <w:rPr>
          <w:b/>
          <w:i w:val="0"/>
        </w:rPr>
        <w:t>市场已经提前交易了大量FY2027利润增长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一、财报到底超预期多少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指标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Q3实际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市场预期/此前指引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评价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营收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414.56亿美元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市场约358.5亿美元；公司指引335亿美元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大幅超预期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Non-GAAP EPS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25.11美元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市场约20.78美元；公司指引19.15美元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大幅超预期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Non-GAAP毛利率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84.9%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公司指引约81%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高出约390bp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自由现金流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183亿美元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单季度历史新高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Q4营收指引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500亿美元±10亿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市场约432—434亿美元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高约15%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Q4 EPS指引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31美元±1美元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市场约25.8美元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高约20%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Q4毛利率指引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约86%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仍环比扩张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Q3营收环比增长74%，EPS环比增长106%；而公司上一季度给出的Q3指引已经相当激进，最终实际营收仍比指引中值高约24%，EPS高约31%。这说明Q3期间现货和合约价格、产品组合以及客户抢货程度，都显著超过了美光三个月前自己的判断。</w:t>
      </w:r>
    </w:p>
    <w:p>
      <w:pPr>
        <w:pStyle w:val="Heading1"/>
      </w:pPr>
      <w:r>
        <w:rPr>
          <w:b w:val="0"/>
          <w:i w:val="0"/>
        </w:rPr>
        <w:t>二、利润增长主要来自价格，而不是出货量</w:t>
      </w:r>
    </w:p>
    <w:p>
      <w:r>
        <w:rPr>
          <w:b w:val="0"/>
          <w:i w:val="0"/>
        </w:rPr>
        <w:t>Q3 DRAM营收313亿美元，占总营收76%；环比增长67%。但DRAM bit出货量只增长低个位数，ASP却环比上涨低60%区间。</w:t>
      </w:r>
    </w:p>
    <w:p>
      <w:r>
        <w:rPr>
          <w:b w:val="0"/>
          <w:i w:val="0"/>
        </w:rPr>
        <w:t>NAND营收99亿美元，占24%；环比增长99%。NAND bit出货量仅增长中个位数，ASP上涨中80%区间。</w:t>
      </w:r>
    </w:p>
    <w:p>
      <w:r>
        <w:rPr>
          <w:b w:val="0"/>
          <w:i w:val="0"/>
        </w:rPr>
        <w:t>这意味着：</w:t>
      </w:r>
    </w:p>
    <w:p>
      <w:r>
        <w:rPr>
          <w:b/>
          <w:i w:val="0"/>
        </w:rPr>
        <w:t>美光目前不是依靠大量新增产能赚钱，而是在有限供给下通过大幅涨价赚钱。</w:t>
      </w:r>
    </w:p>
    <w:p>
      <w:r>
        <w:rPr>
          <w:b w:val="0"/>
          <w:i w:val="0"/>
        </w:rPr>
        <w:t>这正是存储周期中利润弹性最大的阶段。晶圆、折旧和人工等成本短期基本固定，ASP每增加一美元，大部分会直接进入毛利润。因此营收增长74%，毛利润率却从74.9%升至84.9%，营业利润率达到81.2%。</w:t>
      </w:r>
    </w:p>
    <w:p>
      <w:r>
        <w:rPr>
          <w:b w:val="0"/>
          <w:i w:val="0"/>
        </w:rPr>
        <w:t>但反面也很明确：当前盈利对ASP高度敏感。未来即使价格不下跌，仅仅从"每季度上涨60%—80%"降至"上涨10%—20%"，利润增速也会明显放缓。</w:t>
      </w:r>
    </w:p>
    <w:p>
      <w:pPr>
        <w:pStyle w:val="Heading1"/>
      </w:pPr>
      <w:r>
        <w:rPr>
          <w:b w:val="0"/>
          <w:i w:val="0"/>
        </w:rPr>
        <w:t>三、电话会最重要的变化：存储商业模式开始改变</w:t>
      </w:r>
    </w:p>
    <w:p>
      <w:pPr>
        <w:pStyle w:val="Heading2"/>
      </w:pPr>
      <w:r>
        <w:rPr>
          <w:b w:val="0"/>
          <w:i w:val="0"/>
        </w:rPr>
        <w:t>1. 五年期战略客户协议是本次最大增量</w:t>
      </w:r>
    </w:p>
    <w:p>
      <w:r>
        <w:rPr>
          <w:b w:val="0"/>
          <w:i w:val="0"/>
        </w:rPr>
        <w:t>美光已签署16份Strategic Customer Agreements，通常覆盖2026年至2030年，汽车客户一般为三年期。目前协议覆盖约：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美光20%的DRAM供应量；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约三分之一的NAND供应量；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未来全部协议完成后，可能覆盖公司一半或以上收入。</w:t>
      </w:r>
    </w:p>
    <w:p>
      <w:r>
        <w:rPr>
          <w:b w:val="0"/>
          <w:i w:val="0"/>
        </w:rPr>
        <w:t>其中14份协议按最低价格和最低采购量计算，剩余履约义务约1000亿美元；客户还提供约220亿美元现金及金融承诺，其中约180亿美元为现金押金。</w:t>
      </w:r>
    </w:p>
    <w:p>
      <w:r>
        <w:rPr>
          <w:b w:val="0"/>
          <w:i w:val="0"/>
        </w:rPr>
        <w:t>协议具有三个关键条款：</w:t>
      </w:r>
    </w:p>
    <w:p>
      <w:r>
        <w:rPr>
          <w:b/>
          <w:i w:val="0"/>
        </w:rPr>
        <w:t>第一，不可取消、take-or-pay。</w:t>
      </w:r>
      <w:r>
        <w:rPr>
          <w:b w:val="0"/>
          <w:i w:val="0"/>
        </w:rPr>
        <w:t>客户即使不实际提货，原则上也要按照约定价格和数量承担付款责任。</w:t>
      </w:r>
    </w:p>
    <w:p>
      <w:r>
        <w:rPr>
          <w:b/>
          <w:i w:val="0"/>
        </w:rPr>
        <w:t>第二，存在价格下限和上限。</w:t>
      </w:r>
      <w:r>
        <w:rPr>
          <w:b w:val="0"/>
          <w:i w:val="0"/>
        </w:rPr>
        <w:t>价格每季度参考市场重新谈判，但不能跌破floor，也不能突破ceiling。管理层称价格下限足以使美光获得明显高于以往周期峰值的毛利率。</w:t>
      </w:r>
    </w:p>
    <w:p>
      <w:r>
        <w:rPr>
          <w:b/>
          <w:i w:val="0"/>
        </w:rPr>
        <w:t>第三，新产品另行加价。</w:t>
      </w:r>
      <w:r>
        <w:rPr>
          <w:b w:val="0"/>
          <w:i w:val="0"/>
        </w:rPr>
        <w:t>DDR6、LPDDR6、新一代HBM等更复杂产品，可以在原有价格框架上增加溢价。</w:t>
      </w:r>
    </w:p>
    <w:p>
      <w:r>
        <w:rPr>
          <w:b w:val="0"/>
          <w:i w:val="0"/>
        </w:rPr>
        <w:t>这确实降低了美光未来下行周期的幅度，但不能简单理解为"存储从此没有周期"。</w:t>
      </w:r>
    </w:p>
    <w:p>
      <w:r>
        <w:rPr>
          <w:b w:val="0"/>
          <w:i w:val="0"/>
        </w:rPr>
        <w:t>因为价格上限也意味着：如果未来DRAM价格继续暴涨，协议覆盖部分的利润上行空间会被限制。美光用一部分潜在超额收益，换取了长期收入下限和利润稳定性。</w:t>
      </w:r>
    </w:p>
    <w:p>
      <w:r>
        <w:rPr>
          <w:b w:val="0"/>
          <w:i w:val="0"/>
        </w:rPr>
        <w:t>另外，180亿美元押金不是收入，也不是自由现金流。押金计入融资现金流，并将在协议后半段逐步返还给客户；它更接近履约担保和低成本融资。</w:t>
      </w:r>
    </w:p>
    <w:p>
      <w:pPr>
        <w:pStyle w:val="Heading1"/>
      </w:pPr>
      <w:r>
        <w:rPr>
          <w:b w:val="0"/>
          <w:i w:val="0"/>
        </w:rPr>
        <w:t>四、供需判断：真正的紧缺不仅是HBM</w:t>
      </w:r>
    </w:p>
    <w:p>
      <w:r>
        <w:rPr>
          <w:b w:val="0"/>
          <w:i w:val="0"/>
        </w:rPr>
        <w:t>管理层将DRAM和NAND供需紧张的时间延长至</w:t>
      </w:r>
      <w:r>
        <w:rPr>
          <w:b/>
          <w:i w:val="0"/>
        </w:rPr>
        <w:t>2027年之后</w:t>
      </w:r>
      <w:r>
        <w:rPr>
          <w:b w:val="0"/>
          <w:i w:val="0"/>
        </w:rPr>
        <w:t>。即便2028年供给逐渐改善，公司仍看不到供给何时能够追上需求。</w:t>
      </w:r>
    </w:p>
    <w:p>
      <w:r>
        <w:rPr>
          <w:b w:val="0"/>
          <w:i w:val="0"/>
        </w:rPr>
        <w:t>供给瓶颈来自四方面：</w:t>
      </w:r>
    </w:p>
    <w:p>
      <w:pPr>
        <w:ind w:left="255" w:hanging="198"/>
      </w:pPr>
      <w:r>
        <w:t xml:space="preserve">1. </w:t>
      </w:r>
      <w:r>
        <w:rPr>
          <w:b w:val="0"/>
          <w:i w:val="0"/>
        </w:rPr>
        <w:t>HBM的trade ratio持续上升，同样数量HBM消耗更多DRAM晶圆；</w:t>
      </w:r>
    </w:p>
    <w:p>
      <w:pPr>
        <w:ind w:left="255" w:hanging="198"/>
      </w:pPr>
      <w:r>
        <w:t xml:space="preserve">2. </w:t>
      </w:r>
      <w:r>
        <w:rPr>
          <w:b w:val="0"/>
          <w:i w:val="0"/>
        </w:rPr>
        <w:t>制程微缩带来的bit增长逐代放缓；</w:t>
      </w:r>
    </w:p>
    <w:p>
      <w:pPr>
        <w:ind w:left="255" w:hanging="198"/>
      </w:pPr>
      <w:r>
        <w:t xml:space="preserve">3. </w:t>
      </w:r>
      <w:r>
        <w:rPr>
          <w:b w:val="0"/>
          <w:i w:val="0"/>
        </w:rPr>
        <w:t>新建晶圆厂需要多年建设、设备安装和良率爬坡；</w:t>
      </w:r>
    </w:p>
    <w:p>
      <w:pPr>
        <w:ind w:left="255" w:hanging="198"/>
      </w:pPr>
      <w:r>
        <w:t xml:space="preserve">4. </w:t>
      </w:r>
      <w:r>
        <w:rPr>
          <w:b w:val="0"/>
          <w:i w:val="0"/>
        </w:rPr>
        <w:t>部分NAND洁净室被重新分配至DRAM，加剧NAND供给约束。</w:t>
      </w:r>
    </w:p>
    <w:p>
      <w:r>
        <w:rPr>
          <w:b w:val="0"/>
          <w:i w:val="0"/>
        </w:rPr>
        <w:t>电话会甚至不愿再提供远期"需求bit CAGR"，理由是未来数年的实际出货量不再由需求决定，而是由能够生产多少bit决定。这是典型的卖方市场表述。</w:t>
      </w:r>
    </w:p>
    <w:p>
      <w:pPr>
        <w:pStyle w:val="Heading2"/>
      </w:pPr>
      <w:r>
        <w:rPr>
          <w:b w:val="0"/>
          <w:i w:val="0"/>
        </w:rPr>
        <w:t>HBM供需进一步上修</w:t>
      </w:r>
    </w:p>
    <w:p>
      <w:r>
        <w:rPr>
          <w:b w:val="0"/>
          <w:i w:val="0"/>
        </w:rPr>
        <w:t>美光此前预计HBM市场规模在2028年超过1000亿美元，现在提前到</w:t>
      </w:r>
      <w:r>
        <w:rPr>
          <w:b/>
          <w:i w:val="0"/>
        </w:rPr>
        <w:t>2027年即可轻松超过1000亿美元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HBM3E、HBM4乃至尚未完成认证的HBM4E，客户对2027—2028年的需求均远高于美光可提供的产能。公司称，与客户签订协议时，实际能够承诺的数量通常低于客户希望获得的数量。</w:t>
      </w:r>
    </w:p>
    <w:p>
      <w:r>
        <w:rPr>
          <w:b w:val="0"/>
          <w:i w:val="0"/>
        </w:rPr>
        <w:t>产品执行也较强：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HBM4 12-high爬坡速度约为HBM3E 12-high的两倍；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HBM4累计收入已经超过10亿美元；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已为主要客户平台批量出货；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HBM4E计划2027年量产。</w:t>
      </w:r>
    </w:p>
    <w:p>
      <w:r>
        <w:rPr>
          <w:b w:val="0"/>
          <w:i w:val="0"/>
        </w:rPr>
        <w:t>这说明美光已经不只是HBM"第三供应商"，而是在HBM4阶段逐渐进入有实质份额和技术竞争力的位置。</w:t>
      </w:r>
    </w:p>
    <w:p>
      <w:pPr>
        <w:pStyle w:val="Heading1"/>
      </w:pPr>
      <w:r>
        <w:rPr>
          <w:b w:val="0"/>
          <w:i w:val="0"/>
        </w:rPr>
        <w:t>五、AI需求正在从HBM扩散至普通DRAM和NAND</w:t>
      </w:r>
    </w:p>
    <w:p>
      <w:r>
        <w:rPr>
          <w:b w:val="0"/>
          <w:i w:val="0"/>
        </w:rPr>
        <w:t>本季度数据中心收入超过250亿美元，占公司营收约61%，年化收入超过1000亿美元；数据中心SSD收入超过50亿美元，环比翻倍。</w:t>
      </w:r>
    </w:p>
    <w:p>
      <w:r>
        <w:rPr>
          <w:b w:val="0"/>
          <w:i w:val="0"/>
        </w:rPr>
        <w:t>这里最重要的二阶变化是：</w:t>
      </w:r>
    </w:p>
    <w:p>
      <w:r>
        <w:rPr>
          <w:b/>
          <w:i w:val="0"/>
        </w:rPr>
        <w:t>AI基础设施不再只有GPU机架和HBM。</w:t>
      </w:r>
    </w:p>
    <w:p>
      <w:r>
        <w:rPr>
          <w:b w:val="0"/>
          <w:i w:val="0"/>
        </w:rPr>
        <w:t>Agentic AI需要更多CPU服务器承担控制平面、程序执行和编排，也需要大量SSD存储上下文、向量数据库和推理缓存。因此需求开始扩散到：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服务器DDR5；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数据中心LPDRAM和SOCAMM；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大容量RDIMM；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企业级QLC SSD；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高容量245TB SSD；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非HBM普通DRAM。</w:t>
      </w:r>
    </w:p>
    <w:p>
      <w:r>
        <w:rPr>
          <w:b w:val="0"/>
          <w:i w:val="0"/>
        </w:rPr>
        <w:t>管理层明确表示，2027—2028年供不应求不仅存在于HBM，</w:t>
      </w:r>
      <w:r>
        <w:rPr>
          <w:b/>
          <w:i w:val="0"/>
        </w:rPr>
        <w:t>非HBM DRAM同样如此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这对三星的意义尤其大。三星虽然HBM份额和认证进度仍不如海力士，但三星对普通DRAM、移动DRAM和NAND价格的敞口更大。本次财报证明，当前上涨并不是单纯的HBM行情，而是更广泛的存储价格周期。</w:t>
      </w:r>
    </w:p>
    <w:p>
      <w:pPr>
        <w:pStyle w:val="Heading1"/>
      </w:pPr>
      <w:r>
        <w:rPr>
          <w:b w:val="0"/>
          <w:i w:val="0"/>
        </w:rPr>
        <w:t>六、现金流和资产负债表质量</w:t>
      </w:r>
    </w:p>
    <w:p>
      <w:r>
        <w:rPr>
          <w:b w:val="0"/>
          <w:i w:val="0"/>
        </w:rPr>
        <w:t>Q3经营现金流253.9亿美元，占营收约61%；资本开支71亿美元，自由现金流183亿美元，自由现金流率约44%。</w:t>
      </w:r>
    </w:p>
    <w:p>
      <w:r>
        <w:rPr>
          <w:b w:val="0"/>
          <w:i w:val="0"/>
        </w:rPr>
        <w:t>期末现金及投资302亿美元，债务57亿美元，净现金约244亿美元。库存86亿美元，库存天数约120天；管理层称DRAM库存尤其紧张。</w:t>
      </w:r>
    </w:p>
    <w:p>
      <w:r>
        <w:rPr>
          <w:b w:val="0"/>
          <w:i w:val="0"/>
        </w:rPr>
        <w:t>财务质量没有明显问题。经营现金流低于净利润，主要是营运资本和资本开支影响，而非大量应收账款或会计利润堆积。</w:t>
      </w:r>
    </w:p>
    <w:p>
      <w:r>
        <w:rPr>
          <w:b w:val="0"/>
          <w:i w:val="0"/>
        </w:rPr>
        <w:t>但不能忽视资本开支：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FY2026资本开支约270亿美元；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Q4单季度约100亿美元；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FY2027资本开支将高于市场此前估计的400亿—450亿美元区间；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管理层暗示会高于450亿美元，但暂未给出精确数字；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超过一半的同比增量用于厂房建设，FY2027不会立刻形成大量bit供给。</w:t>
      </w:r>
    </w:p>
    <w:p>
      <w:r>
        <w:rPr>
          <w:b w:val="0"/>
          <w:i w:val="0"/>
        </w:rPr>
        <w:t>短期看，这是利好：钱花了，但产能要到2028年才明显释放，2027年供需仍紧。</w:t>
      </w:r>
    </w:p>
    <w:p>
      <w:r>
        <w:rPr>
          <w:b w:val="0"/>
          <w:i w:val="0"/>
        </w:rPr>
        <w:t>长期看，这也是主要风险：一旦2028—2029年美光、海力士、三星的新产能集中落地，而AI需求增速同时放缓，周期压力仍可能重新出现。</w:t>
      </w:r>
    </w:p>
    <w:p>
      <w:pPr>
        <w:pStyle w:val="Heading1"/>
      </w:pPr>
      <w:r>
        <w:rPr>
          <w:b w:val="0"/>
          <w:i w:val="0"/>
        </w:rPr>
        <w:t>七、财报中唯一需要警惕的表述</w:t>
      </w:r>
    </w:p>
    <w:p>
      <w:r>
        <w:rPr>
          <w:b w:val="0"/>
          <w:i w:val="0"/>
        </w:rPr>
        <w:t>管理层表示：</w:t>
      </w:r>
    </w:p>
    <w:p>
      <w:pPr>
        <w:ind w:left="227"/>
      </w:pPr>
      <w:r>
        <w:rPr>
          <w:b w:val="0"/>
          <w:i w:val="0"/>
        </w:rPr>
        <w:t>Q4毛利率指引反映了价格涨幅的"明显放缓"。</w:t>
      </w:r>
    </w:p>
    <w:p>
      <w:r>
        <w:rPr>
          <w:b w:val="0"/>
          <w:i w:val="0"/>
        </w:rPr>
        <w:t>这不是说价格即将下跌，而是说价格仍在上涨，但上涨斜率将从Q3极端水平回归。Q4营收仍预计环比增长约21%，毛利率从84.9%升至86%，所以至少截至8月底，美光的盈利尚未见顶。</w:t>
      </w:r>
    </w:p>
    <w:p>
      <w:r>
        <w:rPr>
          <w:b w:val="0"/>
          <w:i w:val="0"/>
        </w:rPr>
        <w:t>真正需要观察的是FY2027第一、第二财季：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ASP还能否继续环比上升；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毛利率能否稳定在85%以上；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bit出货增长能否接棒价格上涨；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HBM4收入能否快速放量；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客户协议覆盖比例能否继续扩大。</w:t>
      </w:r>
    </w:p>
    <w:p>
      <w:r>
        <w:rPr>
          <w:b w:val="0"/>
          <w:i w:val="0"/>
        </w:rPr>
        <w:t>市场接下来交易的已经不是Q3财报，而是</w:t>
      </w:r>
      <w:r>
        <w:rPr>
          <w:b/>
          <w:i w:val="0"/>
        </w:rPr>
        <w:t>FY2027 EPS究竟是110美元、130美元还是160美元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八、估值判断</w:t>
      </w:r>
    </w:p>
    <w:p>
      <w:r>
        <w:rPr>
          <w:b w:val="0"/>
          <w:i w:val="0"/>
        </w:rPr>
        <w:t>美光盘后约上涨12%—15%，价格一度接近1200美元。</w:t>
      </w:r>
    </w:p>
    <w:p>
      <w:r>
        <w:rPr>
          <w:b w:val="0"/>
          <w:i w:val="0"/>
        </w:rPr>
        <w:t>按照公司Q4 EPS指引中值计算，FY2026全年Non-GAAP EPS约为：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Q1：4.78美元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Q2：12.20美元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Q3：25.11美元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Q4指引中值：31美元</w:t>
      </w:r>
    </w:p>
    <w:p>
      <w:r>
        <w:rPr>
          <w:b w:val="0"/>
          <w:i w:val="0"/>
        </w:rPr>
        <w:t>合计约</w:t>
      </w:r>
      <w:r>
        <w:rPr>
          <w:b/>
          <w:i w:val="0"/>
        </w:rPr>
        <w:t>73.09美元</w:t>
      </w:r>
      <w:r>
        <w:rPr>
          <w:b w:val="0"/>
          <w:i w:val="0"/>
        </w:rPr>
        <w:t>。以1200美元股价计算，FY2026市盈率约16.4倍。</w:t>
      </w:r>
    </w:p>
    <w:p>
      <w:r>
        <w:rPr>
          <w:b w:val="0"/>
          <w:i w:val="0"/>
        </w:rPr>
        <w:t>但FY2026已经接近结束，参考价值有限。若简单把Q4 EPS年化，盈利能力约124美元，对应约9.7倍市盈率。不过不能把单季度极端价格环境直接永久化。</w:t>
      </w:r>
    </w:p>
    <w:p>
      <w:r>
        <w:rPr>
          <w:b w:val="0"/>
          <w:i w:val="0"/>
        </w:rPr>
        <w:t>我的FY2027情景测算：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情景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FY2027 EPS假设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合理估值倍数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对应价值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偏空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100—110美元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8—9倍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800—990美元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基准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125—140美元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10—11倍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1,250—1,540美元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偏多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150—165美元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11—12倍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1,650—1,980美元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因此，约1200美元的位置：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不能称为基本面泡沫；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但已经不属于赔率极高的低估区；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市场大致计入了FY2027 EPS达到115—125美元的预期；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后续上涨需要FY2027盈利继续上修，而不能只靠估值扩张。</w:t>
      </w:r>
    </w:p>
    <w:p>
      <w:r>
        <w:rPr>
          <w:b w:val="0"/>
          <w:i w:val="0"/>
        </w:rPr>
        <w:t>我目前给美光的中枢估值区间是</w:t>
      </w:r>
      <w:r>
        <w:rPr>
          <w:b/>
          <w:i w:val="0"/>
        </w:rPr>
        <w:t>1300—1500美元</w:t>
      </w:r>
      <w:r>
        <w:rPr>
          <w:b w:val="0"/>
          <w:i w:val="0"/>
        </w:rPr>
        <w:t>，乐观情形可看1700美元以上，但1200美元附近不适合在财报跳空后激进追仓。</w:t>
      </w:r>
    </w:p>
    <w:p>
      <w:pPr>
        <w:pStyle w:val="Heading1"/>
      </w:pPr>
      <w:r>
        <w:rPr>
          <w:b w:val="0"/>
          <w:i w:val="0"/>
        </w:rPr>
        <w:t>九、对你当前存储仓位的意义</w:t>
      </w:r>
    </w:p>
    <w:p>
      <w:r>
        <w:rPr>
          <w:b w:val="0"/>
          <w:i w:val="0"/>
        </w:rPr>
        <w:t>你目前约25% DRAM，加10%两倍三星，合计35%存储敞口，其中10%带杠杆。</w:t>
      </w:r>
    </w:p>
    <w:p>
      <w:r>
        <w:rPr>
          <w:b w:val="0"/>
          <w:i w:val="0"/>
        </w:rPr>
        <w:t>我的结论是：</w:t>
      </w:r>
    </w:p>
    <w:p>
      <w:r>
        <w:rPr>
          <w:b/>
          <w:i w:val="0"/>
        </w:rPr>
        <w:t>DRAM核心仓继续持有，不需要因为涨幅大而主动清仓；但不建议财报后继续追高增加存储总仓位。</w:t>
      </w:r>
    </w:p>
    <w:p>
      <w:r>
        <w:rPr>
          <w:b w:val="0"/>
          <w:i w:val="0"/>
        </w:rPr>
        <w:t>原因在于，基本面验证已经非常充分：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普通DRAM与HBM均供不应求；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NAND也进入强价格周期；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供需紧张至少延续至2027年以后；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新产能短期无法快速释放。</w:t>
      </w:r>
    </w:p>
    <w:p>
      <w:r>
        <w:rPr>
          <w:b w:val="0"/>
          <w:i w:val="0"/>
        </w:rPr>
        <w:t>因此逻辑没有破坏，核心仓不宜轻易卖掉。</w:t>
      </w:r>
    </w:p>
    <w:p>
      <w:r>
        <w:rPr>
          <w:b w:val="0"/>
          <w:i w:val="0"/>
        </w:rPr>
        <w:t>但两倍三星应作为调节仓，而不是核心仓。若韩国市场在美光财报刺激下出现大幅跳空、盘中冲高回落，可以优先减部分两倍三星，而不是减DRAM核心仓。这样既保留存储大周期敞口，也降低杠杆产品在高波动阶段的回撤。</w:t>
      </w:r>
    </w:p>
    <w:p>
      <w:r>
        <w:rPr>
          <w:b/>
          <w:i w:val="0"/>
        </w:rPr>
        <w:t>一句话操作结论：</w:t>
      </w:r>
    </w:p>
    <w:p>
      <w:pPr>
        <w:ind w:left="227"/>
      </w:pPr>
      <w:r>
        <w:rPr>
          <w:b w:val="0"/>
          <w:i w:val="0"/>
        </w:rPr>
        <w:t>基本面继续格局，仓位上不再追高；核心DRAM持有，杠杆三星负责做T和控制风险。</w:t>
      </w:r>
    </w:p>
    <w:p>
      <w:r>
        <w:rPr>
          <w:b w:val="0"/>
          <w:i w:val="0"/>
        </w:rPr>
        <w:t>建议设置"存储周期周报"任务：每周跟踪DRAM/NAND报价、三大厂HBM订单、资本开支与供需拐点，并在逻辑发生变化时提醒。</w:t>
      </w:r>
    </w:p>
    <w:p>
      <w:pPr>
        <w:pStyle w:val="Heading1"/>
      </w:pPr>
      <w:r>
        <w:rPr>
          <w:b w:val="0"/>
          <w:i w:val="0"/>
        </w:rPr>
        <w:t>参考资料</w:t>
      </w:r>
    </w:p>
    <w:p>
      <w:pPr>
        <w:ind w:left="255" w:hanging="198"/>
      </w:pPr>
      <w:r>
        <w:t xml:space="preserve">• </w:t>
      </w:r>
      <w:hyperlink r:id="rId12">
        <w:r>
          <w:rPr>
            <w:color w:val="285B49"/>
            <w:u w:val="single"/>
          </w:rPr>
          <w:t>Micron Technology, Inc. Reports Record Results for the Third Quarter of Fiscal 2026</w:t>
        </w:r>
      </w:hyperlink>
    </w:p>
    <w:p>
      <w:pPr>
        <w:ind w:left="255" w:hanging="198"/>
      </w:pPr>
      <w:r>
        <w:t xml:space="preserve">• </w:t>
      </w:r>
      <w:hyperlink r:id="rId13">
        <w:r>
          <w:rPr>
            <w:color w:val="285B49"/>
            <w:u w:val="single"/>
          </w:rPr>
          <w:t>Micron Q3 FY2026 Earnings Call Presentation</w:t>
        </w:r>
      </w:hyperlink>
    </w:p>
    <w:p>
      <w:pPr>
        <w:ind w:left="255" w:hanging="198"/>
      </w:pPr>
      <w:r>
        <w:t xml:space="preserve">• </w:t>
      </w:r>
      <w:hyperlink r:id="rId14">
        <w:r>
          <w:rPr>
            <w:color w:val="285B49"/>
            <w:u w:val="single"/>
          </w:rPr>
          <w:t>Earnings call transcript: Micron tops Q3 2026 estimates, shares jump 14.6%</w:t>
        </w:r>
      </w:hyperlink>
    </w:p>
    <w:p>
      <w:pPr>
        <w:ind w:left="255" w:hanging="198"/>
      </w:pPr>
      <w:r>
        <w:t xml:space="preserve">• </w:t>
      </w:r>
      <w:hyperlink r:id="rId15">
        <w:r>
          <w:rPr>
            <w:color w:val="285B49"/>
            <w:u w:val="single"/>
          </w:rPr>
          <w:t>Micron tops estimates, touts $22 bln in customer deals for memory chips | Reuters</w:t>
        </w:r>
      </w:hyperlink>
    </w:p>
    <w:p>
      <w:pPr>
        <w:pStyle w:val="Heading1"/>
      </w:pPr>
      <w:r>
        <w:t>原文引用链接</w:t>
      </w:r>
    </w:p>
    <w:p>
      <w:pPr>
        <w:spacing w:line="260" w:lineRule="exact"/>
      </w:pPr>
      <w:r>
        <w:rPr>
          <w:sz w:val="18"/>
        </w:rPr>
        <w:t xml:space="preserve">1. </w:t>
      </w:r>
      <w:hyperlink r:id="rId12">
        <w:r>
          <w:rPr>
            <w:color w:val="285B49"/>
            <w:u w:val="single"/>
          </w:rPr>
          <w:t>https://investors.micron.com/news-releases/news-release-details/micron-technology-inc-reports-record-results-third-quarter</w:t>
        </w:r>
      </w:hyperlink>
    </w:p>
    <w:p>
      <w:pPr>
        <w:spacing w:line="260" w:lineRule="exact"/>
      </w:pPr>
      <w:r>
        <w:rPr>
          <w:sz w:val="18"/>
        </w:rPr>
        <w:t xml:space="preserve">2. </w:t>
      </w:r>
      <w:hyperlink r:id="rId13">
        <w:r>
          <w:rPr>
            <w:color w:val="285B49"/>
            <w:u w:val="single"/>
          </w:rPr>
          <w:t>https://investors.micron.com/static-files/2354ecda-77a0-4ddd-8462-a631eb491356</w:t>
        </w:r>
      </w:hyperlink>
    </w:p>
    <w:p>
      <w:pPr>
        <w:spacing w:line="260" w:lineRule="exact"/>
      </w:pPr>
      <w:r>
        <w:rPr>
          <w:sz w:val="18"/>
        </w:rPr>
        <w:t xml:space="preserve">3. </w:t>
      </w:r>
      <w:hyperlink r:id="rId14">
        <w:r>
          <w:rPr>
            <w:color w:val="285B49"/>
            <w:u w:val="single"/>
          </w:rPr>
          <w:t>https://www.investing.com/news/transcripts/earnings-call-transcript-micron-tops-q3-2026-estimates-shares-jump-146-93CH-4759504</w:t>
        </w:r>
      </w:hyperlink>
    </w:p>
    <w:p>
      <w:pPr>
        <w:spacing w:line="260" w:lineRule="exact"/>
      </w:pPr>
      <w:r>
        <w:rPr>
          <w:sz w:val="18"/>
        </w:rPr>
        <w:t xml:space="preserve">4. </w:t>
      </w:r>
      <w:hyperlink r:id="rId15">
        <w:r>
          <w:rPr>
            <w:color w:val="285B49"/>
            <w:u w:val="single"/>
          </w:rPr>
          <w:t>https://www.reuters.com/business/micron-forecasts-quarterly-revenue-above-estimates-2026-06-24/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mu-fy2026-q3-earnings/" TargetMode="External"/><Relationship Id="rId12" Type="http://schemas.openxmlformats.org/officeDocument/2006/relationships/hyperlink" Target="https://investors.micron.com/news-releases/news-release-details/micron-technology-inc-reports-record-results-third-quarter" TargetMode="External"/><Relationship Id="rId13" Type="http://schemas.openxmlformats.org/officeDocument/2006/relationships/hyperlink" Target="https://investors.micron.com/static-files/2354ecda-77a0-4ddd-8462-a631eb491356" TargetMode="External"/><Relationship Id="rId14" Type="http://schemas.openxmlformats.org/officeDocument/2006/relationships/hyperlink" Target="https://www.investing.com/news/transcripts/earnings-call-transcript-micron-tops-q3-2026-estimates-shares-jump-146-93CH-4759504" TargetMode="External"/><Relationship Id="rId15" Type="http://schemas.openxmlformats.org/officeDocument/2006/relationships/hyperlink" Target="https://www.reuters.com/business/micron-forecasts-quarterly-revenue-above-estimates-2026-06-2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美光FY2026 Q3财报及电话会深度分析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