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纳指100六月调整：AI基础设施与商业航天被正式纳入主流指数视野</w:t>
      </w:r>
    </w:p>
    <w:p>
      <w:pPr>
        <w:pStyle w:val="Caption"/>
      </w:pPr>
      <w:r>
        <w:t>原文日期 2026-06-15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一、事件摘要</w:t>
      </w:r>
    </w:p>
    <w:p>
      <w:r>
        <w:rPr>
          <w:b w:val="0"/>
          <w:i w:val="0"/>
        </w:rPr>
        <w:t xml:space="preserve">Nasdaq 在 2026年6月11日公布 Nasdaq-100 指数六月季度调整结果，本次调整将在 </w:t>
      </w:r>
      <w:r>
        <w:rPr>
          <w:b/>
          <w:i w:val="0"/>
        </w:rPr>
        <w:t>2026年6月22日美股开盘前生效</w:t>
      </w:r>
      <w:r>
        <w:rPr>
          <w:b w:val="0"/>
          <w:i w:val="0"/>
        </w:rPr>
        <w:t>。</w:t>
      </w:r>
    </w:p>
    <w:p>
      <w:r>
        <w:rPr>
          <w:b/>
          <w:i w:val="0"/>
        </w:rPr>
        <w:t>新增5家：</w:t>
      </w:r>
      <w:r>
        <w:rPr>
          <w:b w:val="0"/>
          <w:i w:val="0"/>
        </w:rPr>
        <w:t xml:space="preserve"> Astera Labs（ALAB）、CoreWeave（CRWV）、Nebius（NBIS）、Rocket Lab（RKLB）、Teradyne（TER）</w:t>
      </w:r>
    </w:p>
    <w:p>
      <w:r>
        <w:rPr>
          <w:b/>
          <w:i w:val="0"/>
        </w:rPr>
        <w:t>剔除5家：</w:t>
      </w:r>
      <w:r>
        <w:rPr>
          <w:b w:val="0"/>
          <w:i w:val="0"/>
        </w:rPr>
        <w:t xml:space="preserve"> Charter Communications（CHTR）、Cognizant（CTSH）、Insmed（INSM）、Verisk Analytics（VRSK）、Zscaler（ZS）</w:t>
      </w:r>
    </w:p>
    <w:p>
      <w:r>
        <w:rPr>
          <w:b w:val="0"/>
          <w:i w:val="0"/>
        </w:rPr>
        <w:t>这次调整的核心看点不是单纯"谁进谁出"，而是指数层面对市场主线的一次确认：</w:t>
      </w:r>
      <w:r>
        <w:rPr>
          <w:b/>
          <w:i w:val="0"/>
        </w:rPr>
        <w:t>AI算力云、AI互联芯片、半导体测试设备、商业航天</w:t>
      </w:r>
      <w:r>
        <w:rPr>
          <w:b w:val="0"/>
          <w:i w:val="0"/>
        </w:rPr>
        <w:t xml:space="preserve"> 这些方向，正在从高弹性主题股，逐步进入主流被动资金配置池。Nasdaq-100 被全球 200 多个投资产品跟踪，相关资产管理规模超过 8000 亿美元，因此纳入指数会带来可见度、被动资金和机构覆盖度显著提升。</w:t>
      </w:r>
    </w:p>
    <w:p>
      <w:pPr>
        <w:pStyle w:val="Heading1"/>
      </w:pPr>
      <w:r>
        <w:rPr>
          <w:b w:val="0"/>
          <w:i w:val="0"/>
        </w:rPr>
        <w:t>二、新增标的主线归类</w:t>
      </w:r>
    </w:p>
    <w:p>
      <w:r>
        <w:rPr>
          <w:b/>
          <w:i w:val="0"/>
        </w:rPr>
        <w:t>CRWV（CoreWeave）</w:t>
      </w:r>
      <w:r>
        <w:rPr>
          <w:b w:val="0"/>
          <w:i w:val="0"/>
        </w:rPr>
        <w:t xml:space="preserve"> — AI云 / GPU算力租赁。直接受益AI训练和推理算力需求，属于"AI Factory"基础设施侧。</w:t>
      </w:r>
    </w:p>
    <w:p>
      <w:r>
        <w:rPr>
          <w:b/>
          <w:i w:val="0"/>
        </w:rPr>
        <w:t>NBIS（Nebius）</w:t>
      </w:r>
      <w:r>
        <w:rPr>
          <w:b w:val="0"/>
          <w:i w:val="0"/>
        </w:rPr>
        <w:t xml:space="preserve"> — AI云 / 欧洲AI基础设施。类CoreWeave，但带有欧洲本土AI算力平台属性。</w:t>
      </w:r>
    </w:p>
    <w:p>
      <w:r>
        <w:rPr>
          <w:b/>
          <w:i w:val="0"/>
        </w:rPr>
        <w:t>ALAB（Astera Labs）</w:t>
      </w:r>
      <w:r>
        <w:rPr>
          <w:b w:val="0"/>
          <w:i w:val="0"/>
        </w:rPr>
        <w:t xml:space="preserve"> — AI互联芯片。PCIe、CXL、以太网连接芯片，受益GPU集群内部高速互联。</w:t>
      </w:r>
    </w:p>
    <w:p>
      <w:r>
        <w:rPr>
          <w:b/>
          <w:i w:val="0"/>
        </w:rPr>
        <w:t>RKLB（Rocket Lab）</w:t>
      </w:r>
      <w:r>
        <w:rPr>
          <w:b w:val="0"/>
          <w:i w:val="0"/>
        </w:rPr>
        <w:t xml:space="preserve"> — 商业航天。发射服务 + 卫星制造，属于SpaceX之外最具辨识度的商业航天弹性标的。</w:t>
      </w:r>
    </w:p>
    <w:p>
      <w:r>
        <w:rPr>
          <w:b/>
          <w:i w:val="0"/>
        </w:rPr>
        <w:t>TER（Teradyne）</w:t>
      </w:r>
      <w:r>
        <w:rPr>
          <w:b w:val="0"/>
          <w:i w:val="0"/>
        </w:rPr>
        <w:t xml:space="preserve"> — 半导体测试设备。AI芯片复杂度提升后，测试设备需求和价值量上升。</w:t>
      </w:r>
    </w:p>
    <w:p>
      <w:r>
        <w:rPr>
          <w:b w:val="0"/>
          <w:i w:val="0"/>
        </w:rPr>
        <w:t>从结构看，CRWV、NBIS、ALAB明显贴着英伟达和AI算力生态；TER是AI芯片制造后端测试环节；RKLB则代表商业航天进入更主流的指数定价体系。</w:t>
      </w:r>
    </w:p>
    <w:p>
      <w:pPr>
        <w:pStyle w:val="Heading1"/>
      </w:pPr>
      <w:r>
        <w:rPr>
          <w:b w:val="0"/>
          <w:i w:val="0"/>
        </w:rPr>
        <w:t>三、深度分析：这不是简单指数利好，而是"主线确认"</w:t>
      </w:r>
    </w:p>
    <w:p>
      <w:r>
        <w:rPr>
          <w:b/>
          <w:i w:val="0"/>
        </w:rPr>
        <w:t>第一层，被动资金买入。</w:t>
      </w:r>
      <w:r>
        <w:rPr>
          <w:b w:val="0"/>
          <w:i w:val="0"/>
        </w:rPr>
        <w:t>跟踪QQQ、NDX相关产品的资金需要按规则配置，会形成一次性或阶段性的买盘。但这类买盘通常市场会提前交易，真正的机会不一定在公告当天追高，而在生效日前后观察换手和承接。</w:t>
      </w:r>
    </w:p>
    <w:p>
      <w:r>
        <w:rPr>
          <w:b/>
          <w:i w:val="0"/>
        </w:rPr>
        <w:t>第二层，机构覆盖度提升。</w:t>
      </w:r>
      <w:r>
        <w:rPr>
          <w:b w:val="0"/>
          <w:i w:val="0"/>
        </w:rPr>
        <w:t>进入Nasdaq-100后，股票会被更多指数基金、量化基金、主动成长基金纳入观察池。对CRWV、NBIS、ALAB、RKLB这类高弹性公司来说，纳入指数本身等于提高了"资产合法性"。</w:t>
      </w:r>
    </w:p>
    <w:p>
      <w:r>
        <w:rPr>
          <w:b/>
          <w:i w:val="0"/>
        </w:rPr>
        <w:t>第三层，市场主线的迁移。</w:t>
      </w:r>
      <w:r>
        <w:rPr>
          <w:b w:val="0"/>
          <w:i w:val="0"/>
        </w:rPr>
        <w:t>被剔除的公司包括通信服务、IT服务、保险数据、软件安全、生物医药等，新增的则集中在AI算力、AI连接、半导体设备、商业航天。说明Nasdaq-100的结构在进一步向"硬科技基础设施"倾斜。</w:t>
      </w:r>
    </w:p>
    <w:p>
      <w:r>
        <w:rPr>
          <w:b/>
          <w:i w:val="0"/>
        </w:rPr>
        <w:t>第四层，AI产业链二阶扩散。</w:t>
      </w:r>
      <w:r>
        <w:rPr>
          <w:b w:val="0"/>
          <w:i w:val="0"/>
        </w:rPr>
        <w:t>这次最值得注意的是，进来的不是NVDA、MSFT、GOOGL这种一阶核心巨头，而是AI基础设施的二阶标的：算力租赁、互联芯片、测试设备。这和我们之前一直说的"AI Factory 交易方法"一致：大厂确认需求后，资金会继续寻找BOM价值量提升、供给瓶颈、订单可见性更强的环节。</w:t>
      </w:r>
    </w:p>
    <w:p>
      <w:pPr>
        <w:pStyle w:val="Heading1"/>
      </w:pPr>
      <w:r>
        <w:rPr>
          <w:b w:val="0"/>
          <w:i w:val="0"/>
        </w:rPr>
        <w:t>四、个股理解</w:t>
      </w:r>
    </w:p>
    <w:p>
      <w:pPr>
        <w:pStyle w:val="Heading2"/>
      </w:pPr>
      <w:r>
        <w:rPr>
          <w:b w:val="0"/>
          <w:i w:val="0"/>
        </w:rPr>
        <w:t>CRWV：AI云里最直接的算力租赁标的</w:t>
      </w:r>
    </w:p>
    <w:p>
      <w:r>
        <w:rPr>
          <w:b w:val="0"/>
          <w:i w:val="0"/>
        </w:rPr>
        <w:t>优点是逻辑非常直接：GPU供给、客户需求、租赁价格、数据中心扩张都能形成交易催化。缺点是资本开支重、债务和折旧压力大，估值对融资环境和GPU租赁价格非常敏感。适合做AI算力景气度的高β工具，不适合当成低波动核心仓。</w:t>
      </w:r>
    </w:p>
    <w:p>
      <w:pPr>
        <w:pStyle w:val="Heading2"/>
      </w:pPr>
      <w:r>
        <w:rPr>
          <w:b w:val="0"/>
          <w:i w:val="0"/>
        </w:rPr>
        <w:t>NBIS：欧洲AI云基础设施代表</w:t>
      </w:r>
    </w:p>
    <w:p>
      <w:r>
        <w:rPr>
          <w:b w:val="0"/>
          <w:i w:val="0"/>
        </w:rPr>
        <w:t>逻辑和CRWV类似，但多了一层"非美国AI算力主权化"的叙事。如果欧洲本土AI、数据合规、主权云需求继续发酵，NBIS有独特位置。风险是商业模式和订单兑现还需要继续验证。</w:t>
      </w:r>
    </w:p>
    <w:p>
      <w:pPr>
        <w:pStyle w:val="Heading2"/>
      </w:pPr>
      <w:r>
        <w:rPr>
          <w:b w:val="0"/>
          <w:i w:val="0"/>
        </w:rPr>
        <w:t>ALAB：AI互联芯片受益者</w:t>
      </w:r>
    </w:p>
    <w:p>
      <w:r>
        <w:rPr>
          <w:b w:val="0"/>
          <w:i w:val="0"/>
        </w:rPr>
        <w:t>更贴近"GPU集群内部连接瓶颈"。AI服务器从单卡性能竞争转向集群效率竞争后，PCIe、CXL、Retimer、以太网连接芯片的重要性上升。优点是赛道精准，缺点是估值弹性很大，容易被"AI互联过热交易"反噬。</w:t>
      </w:r>
    </w:p>
    <w:p>
      <w:pPr>
        <w:pStyle w:val="Heading2"/>
      </w:pPr>
      <w:r>
        <w:rPr>
          <w:b w:val="0"/>
          <w:i w:val="0"/>
        </w:rPr>
        <w:t>RKLB：商业航天的指数化确认</w:t>
      </w:r>
    </w:p>
    <w:p>
      <w:r>
        <w:rPr>
          <w:b w:val="0"/>
          <w:i w:val="0"/>
        </w:rPr>
        <w:t>RKLB进纳指100，代表商业航天不再只是SpaceX影子主题。它有发射、卫星制造、国防订单、太空基础设施几条线，稀缺性强。但短线要小心：如果SpaceX上市后成为全市场商业航天定价锚，RKLB可能会被迫重新对标SpaceX估值。</w:t>
      </w:r>
    </w:p>
    <w:p>
      <w:pPr>
        <w:pStyle w:val="Heading2"/>
      </w:pPr>
      <w:r>
        <w:rPr>
          <w:b w:val="0"/>
          <w:i w:val="0"/>
        </w:rPr>
        <w:t>TER：这批里面最稳的半导体设备标的</w:t>
      </w:r>
    </w:p>
    <w:p>
      <w:r>
        <w:rPr>
          <w:b w:val="0"/>
          <w:i w:val="0"/>
        </w:rPr>
        <w:t>TER不像CRWV、NBIS、RKLB那么有故事，但更偏产业链刚需。AI芯片、先进封装、复杂SoC、HBM相关测试都会推高测试环节的重要性。弹性不如前四只，但商业模式更成熟。</w:t>
      </w:r>
    </w:p>
    <w:p>
      <w:pPr>
        <w:pStyle w:val="Heading1"/>
      </w:pPr>
      <w:r>
        <w:rPr>
          <w:b w:val="0"/>
          <w:i w:val="0"/>
        </w:rPr>
        <w:t>五、交易结论</w:t>
      </w:r>
    </w:p>
    <w:p>
      <w:r>
        <w:rPr>
          <w:b w:val="0"/>
          <w:i w:val="0"/>
        </w:rPr>
        <w:t>这批纳入 Nasdaq-100 的名单，本质是市场把</w:t>
      </w:r>
      <w:r>
        <w:rPr>
          <w:b/>
          <w:i w:val="0"/>
        </w:rPr>
        <w:t>AI基础设施和商业航天</w:t>
      </w:r>
      <w:r>
        <w:rPr>
          <w:b w:val="0"/>
          <w:i w:val="0"/>
        </w:rPr>
        <w:t>从"主题交易"推进到"指数配置"的过程。短线看，公告后容易先涨，生效日前后容易出现被动资金买入与获利盘兑现并存的波动；中线看，真正值得跟踪的是这些公司能否用订单、收入增速、毛利率、客户扩张来证明自己不是单纯指数事件。</w:t>
      </w:r>
    </w:p>
    <w:p>
      <w:r>
        <w:rPr>
          <w:b w:val="0"/>
          <w:i w:val="0"/>
        </w:rPr>
        <w:t>对你自己的组合来说：</w:t>
      </w:r>
    </w:p>
    <w:p>
      <w:r>
        <w:rPr>
          <w:b/>
          <w:i w:val="0"/>
        </w:rPr>
        <w:t>第一梯队：CRWV、ALAB。</w:t>
      </w:r>
      <w:r>
        <w:rPr>
          <w:b w:val="0"/>
          <w:i w:val="0"/>
        </w:rPr>
        <w:t>最贴合AI Factory交易框架，一个代表算力租赁，一个代表AI互联芯片。适合重点跟踪，但不适合无脑追高。</w:t>
      </w:r>
    </w:p>
    <w:p>
      <w:r>
        <w:rPr>
          <w:b/>
          <w:i w:val="0"/>
        </w:rPr>
        <w:t>第二梯队：RKLB、NBIS。</w:t>
      </w:r>
      <w:r>
        <w:rPr>
          <w:b w:val="0"/>
          <w:i w:val="0"/>
        </w:rPr>
        <w:t>RKLB是商业航天稀缺票，但短线受SpaceX定价影响较大；NBIS有欧洲AI云叙事，但兑现度需要继续观察。</w:t>
      </w:r>
    </w:p>
    <w:p>
      <w:r>
        <w:rPr>
          <w:b/>
          <w:i w:val="0"/>
        </w:rPr>
        <w:t>第三梯队：TER。</w:t>
      </w:r>
      <w:r>
        <w:rPr>
          <w:b w:val="0"/>
          <w:i w:val="0"/>
        </w:rPr>
        <w:t>更像稳健型半导体设备补充，不是最高弹性，但适合观察半导体测试设备是否进入新一轮价值量重估。</w:t>
      </w:r>
    </w:p>
    <w:p>
      <w:r>
        <w:rPr>
          <w:b/>
          <w:i w:val="0"/>
        </w:rPr>
        <w:t>一句话总结：这次纳指100调整，不是单只股票的利好，而是指数层面对"AI算力基础设施 + AI互联 + 商业航天"的一次正式确认。短线看资金流，真正中线看订单兑现。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nasdaq100-june-2026-rebal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纳指100六月调整：AI基础设施与商业航天被正式纳入主流指数视野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