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光互连组合重建：从光模块到全链条</w:t>
      </w:r>
    </w:p>
    <w:p>
      <w:pPr>
        <w:pStyle w:val="Caption"/>
      </w:pPr>
      <w:r>
        <w:t>原文日期 2026-06-12    文件生成 2026-09-12</w:t>
      </w:r>
    </w:p>
    <w:p>
      <w:hyperlink r:id="rId11">
        <w:r>
          <w:rPr>
            <w:color w:val="285B49"/>
            <w:u w:val="single"/>
          </w:rPr>
          <w:t>阅读网站原文</w:t>
        </w:r>
      </w:hyperlink>
    </w:p>
    <w:p>
      <w:pPr>
        <w:pStyle w:val="Caption"/>
      </w:pPr>
      <w:r>
        <w:t>离线阅读版保留原文观点与日期，不代表当前判断。来源链接可点击；网页的最新修订以原文为准。</w:t>
      </w:r>
    </w:p>
    <w:p>
      <w:r>
        <w:rPr>
          <w:b w:val="0"/>
          <w:i w:val="0"/>
        </w:rPr>
        <w:t xml:space="preserve">如果你已经确定 </w:t>
      </w:r>
      <w:r>
        <w:rPr>
          <w:b/>
          <w:i w:val="0"/>
        </w:rPr>
        <w:t>LITE、COHR 必配</w:t>
      </w:r>
      <w:r>
        <w:rPr>
          <w:b w:val="0"/>
          <w:i w:val="0"/>
        </w:rPr>
        <w:t>，那么新增标的优先级：</w:t>
      </w:r>
    </w:p>
    <w:p>
      <w:pPr>
        <w:ind w:left="227"/>
      </w:pPr>
      <w:r>
        <w:rPr>
          <w:b/>
          <w:i w:val="0"/>
        </w:rPr>
        <w:t>CRDO &gt; TSEM &gt; VIAV &gt; GFS &gt; AXTI &gt; FORM &gt; SIVEF</w:t>
      </w:r>
    </w:p>
    <w:p>
      <w:r>
        <w:rPr>
          <w:b w:val="0"/>
          <w:i w:val="0"/>
        </w:rPr>
        <w:t>如果把 AAOI、GLW、AVGO、NOK 也一起放进光互连组合，分层如下：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层级</w:t>
            </w:r>
          </w:p>
        </w:tc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标的</w:t>
            </w:r>
          </w:p>
        </w:tc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角色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核心仓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LITE、COHR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光器件/激光器/光模块核心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增强核心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CRDO、TSEM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AI互连芯片/DSP/AEC + 硅光代工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稳健辅助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VIAV、GFS、GLW、AVGO、NOK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测试、硅光平台、光纤、AI网络、光网络设备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高弹性小仓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AAOI、AXTI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光模块订单弹性 / InP材料瓶颈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观察仓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SIVEF、FORM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Sivers太早期；FORM更偏HBM/先进封装测试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b w:val="0"/>
          <w:i w:val="0"/>
        </w:rPr>
        <w:t>一、新增七只标的一一拆解</w:t>
      </w:r>
    </w:p>
    <w:p>
      <w:pPr>
        <w:pStyle w:val="Heading2"/>
      </w:pPr>
      <w:r>
        <w:rPr>
          <w:b w:val="0"/>
          <w:i w:val="0"/>
        </w:rPr>
        <w:t>1. CRDO：新增里最值得放进组合</w:t>
      </w:r>
    </w:p>
    <w:p>
      <w:r>
        <w:rPr>
          <w:b w:val="0"/>
          <w:i w:val="0"/>
        </w:rPr>
        <w:t xml:space="preserve">CRDO不是传统光模块公司，而是 </w:t>
      </w:r>
      <w:r>
        <w:rPr>
          <w:b/>
          <w:i w:val="0"/>
        </w:rPr>
        <w:t>AI数据中心互连芯片公司</w:t>
      </w:r>
      <w:r>
        <w:rPr>
          <w:b w:val="0"/>
          <w:i w:val="0"/>
        </w:rPr>
        <w:t>，核心赛道：AEC主动电缆、SerDes、Optical DSP、800G/1.6T互连。通过收购DustPhotonics进入硅光PIC、NPO、CPO。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指标</w:t>
            </w:r>
          </w:p>
        </w:tc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数据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Q4 FY2026收入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4.37亿美元（+157%）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GAAP毛利率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68.2%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现金+短期投资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14亿美元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下季度指引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4.65亿-4.75亿美元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市值/PE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~508亿美元 / ~145倍</w:t>
            </w:r>
          </w:p>
        </w:tc>
      </w:tr>
    </w:tbl>
    <w:p>
      <w:pPr>
        <w:spacing w:after="60"/>
      </w:pPr>
    </w:p>
    <w:p>
      <w:r>
        <w:rPr>
          <w:b w:val="0"/>
          <w:i w:val="0"/>
        </w:rPr>
        <w:t>收购DustPhotonics后目标覆盖800G、1.6T、3.2T、NPO、CPO，预计FY2027光互连收入超</w:t>
      </w:r>
      <w:r>
        <w:rPr>
          <w:b/>
          <w:i w:val="0"/>
        </w:rPr>
        <w:t>5亿美元</w:t>
      </w:r>
      <w:r>
        <w:rPr>
          <w:b w:val="0"/>
          <w:i w:val="0"/>
        </w:rPr>
        <w:t>。</w:t>
      </w:r>
    </w:p>
    <w:p>
      <w:r>
        <w:rPr>
          <w:b/>
          <w:i w:val="0"/>
        </w:rPr>
        <w:t>判断：</w:t>
      </w:r>
      <w:r>
        <w:rPr>
          <w:b w:val="0"/>
          <w:i w:val="0"/>
        </w:rPr>
        <w:t xml:space="preserve"> CRDO适合作为LITE/COHR之后的第三核心，但不能追高满仓。它比AAOI更像真正的AI互连平台公司。</w:t>
      </w:r>
    </w:p>
    <w:p>
      <w:pPr>
        <w:pStyle w:val="Heading2"/>
      </w:pPr>
      <w:r>
        <w:rPr>
          <w:b w:val="0"/>
          <w:i w:val="0"/>
        </w:rPr>
        <w:t>2. TSEM：硅光代工逻辑最明确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指标</w:t>
            </w:r>
          </w:p>
        </w:tc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数据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Q1 2026收入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4.14亿美元（+15%）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经营利润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6500万美元（+96%）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硅光客户预付款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2.9亿美元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2027年合同收入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13亿美元</w:t>
            </w:r>
            <w:r>
              <w:rPr>
                <w:b w:val="0"/>
                <w:i w:val="0"/>
                <w:sz w:val="20"/>
              </w:rPr>
              <w:t>（来自主要硅光客户）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市值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~287亿美元</w:t>
            </w:r>
          </w:p>
        </w:tc>
      </w:tr>
    </w:tbl>
    <w:p>
      <w:pPr>
        <w:spacing w:after="60"/>
      </w:pPr>
    </w:p>
    <w:p>
      <w:r>
        <w:rPr>
          <w:b w:val="0"/>
          <w:i w:val="0"/>
        </w:rPr>
        <w:t>TSEM有客户预付款、2027年13亿美元合同收入、300mm战略、明确的AI硅光表达。不是纯光互连公司（也做模拟/RF/功率），但硅光代工纯度高于GFS。</w:t>
      </w:r>
    </w:p>
    <w:p>
      <w:r>
        <w:rPr>
          <w:b/>
          <w:i w:val="0"/>
        </w:rPr>
        <w:t>判断：</w:t>
      </w:r>
      <w:r>
        <w:rPr>
          <w:b w:val="0"/>
          <w:i w:val="0"/>
        </w:rPr>
        <w:t xml:space="preserve"> 适合做光互连组合里的制造平台仓，比GFS弹性更高，比AAOI质量更稳。</w:t>
      </w:r>
    </w:p>
    <w:p>
      <w:pPr>
        <w:pStyle w:val="Heading2"/>
      </w:pPr>
      <w:r>
        <w:rPr>
          <w:b w:val="0"/>
          <w:i w:val="0"/>
        </w:rPr>
        <w:t>3. VIAV：确定性很好，弹性中等</w:t>
      </w:r>
    </w:p>
    <w:p>
      <w:r>
        <w:rPr>
          <w:b w:val="0"/>
          <w:i w:val="0"/>
        </w:rPr>
        <w:t>光通信测试设备/网络测试逻辑，受益于800G/1.6T/CPO/NPO测试需求。Q3 FY2026收入4.068亿美元（+42.8%），non-GAAP EPS同比+80%。增长由数据中心和航空航天防务驱动。</w:t>
      </w:r>
    </w:p>
    <w:p>
      <w:r>
        <w:rPr>
          <w:b/>
          <w:i w:val="0"/>
        </w:rPr>
        <w:t>判断：</w:t>
      </w:r>
      <w:r>
        <w:rPr>
          <w:b w:val="0"/>
          <w:i w:val="0"/>
        </w:rPr>
        <w:t xml:space="preserve"> 适合作为"卖铲子"的稳健仓，比AAOI稳，但上涨弹性低一档。</w:t>
      </w:r>
    </w:p>
    <w:p>
      <w:pPr>
        <w:pStyle w:val="Heading2"/>
      </w:pPr>
      <w:r>
        <w:rPr>
          <w:b w:val="0"/>
          <w:i w:val="0"/>
        </w:rPr>
        <w:t>4. GFS：硅光平台强，但业务分散</w:t>
      </w:r>
    </w:p>
    <w:p>
      <w:r>
        <w:rPr>
          <w:b w:val="0"/>
          <w:i w:val="0"/>
        </w:rPr>
        <w:t>收购Advanced Micro Foundry（新加坡硅光代工厂）和InfiniLink，增强高速光互连、SerDes和硅光能力。但体量大（市值~445亿美元），光互连占比被汽车/工业/RF稀释。</w:t>
      </w:r>
    </w:p>
    <w:p>
      <w:r>
        <w:rPr>
          <w:b/>
          <w:i w:val="0"/>
        </w:rPr>
        <w:t>判断：</w:t>
      </w:r>
      <w:r>
        <w:rPr>
          <w:b w:val="0"/>
          <w:i w:val="0"/>
        </w:rPr>
        <w:t xml:space="preserve"> 适合做长期硅光平台观察仓，短中期弹性不如TSEM。</w:t>
      </w:r>
    </w:p>
    <w:p>
      <w:pPr>
        <w:pStyle w:val="Heading2"/>
      </w:pPr>
      <w:r>
        <w:rPr>
          <w:b w:val="0"/>
          <w:i w:val="0"/>
        </w:rPr>
        <w:t>5. AXTI：InP材料瓶颈，风险高</w:t>
      </w:r>
    </w:p>
    <w:p>
      <w:r>
        <w:rPr>
          <w:b w:val="0"/>
          <w:i w:val="0"/>
        </w:rPr>
        <w:t>InP衬底逻辑，与LITE/COHR/AAOI的光模块产业链直接相关。完成6.325亿美元融资用于InP产能扩张。中国对InP出口管制正在影响供应链，AXTI是瓶颈受益者。</w:t>
      </w:r>
    </w:p>
    <w:p>
      <w:r>
        <w:rPr>
          <w:b w:val="0"/>
          <w:i w:val="0"/>
        </w:rPr>
        <w:t>但收入体量小、仍亏损、受出口许可和供应链影响大。当前市值~47亿美元，PE为负。</w:t>
      </w:r>
    </w:p>
    <w:p>
      <w:r>
        <w:rPr>
          <w:b/>
          <w:i w:val="0"/>
        </w:rPr>
        <w:t>判断：</w:t>
      </w:r>
      <w:r>
        <w:rPr>
          <w:b w:val="0"/>
          <w:i w:val="0"/>
        </w:rPr>
        <w:t xml:space="preserve"> 适合小仓博InP瓶颈，不适合作为核心仓。</w:t>
      </w:r>
    </w:p>
    <w:p>
      <w:pPr>
        <w:pStyle w:val="Heading2"/>
      </w:pPr>
      <w:r>
        <w:rPr>
          <w:b w:val="0"/>
          <w:i w:val="0"/>
        </w:rPr>
        <w:t>6. FORM：好公司，但更偏存储测试</w:t>
      </w:r>
    </w:p>
    <w:p>
      <w:r>
        <w:rPr>
          <w:b w:val="0"/>
          <w:i w:val="0"/>
        </w:rPr>
        <w:t>FormFactor做探针卡/测试接口。DRAM收入创纪录，HBM需求强。确实受益AI半导体，但偏HBM/DRAM/先进封装测试，不是纯光互连。</w:t>
      </w:r>
    </w:p>
    <w:p>
      <w:r>
        <w:rPr>
          <w:b/>
          <w:i w:val="0"/>
        </w:rPr>
        <w:t>判断：</w:t>
      </w:r>
      <w:r>
        <w:rPr>
          <w:b w:val="0"/>
          <w:i w:val="0"/>
        </w:rPr>
        <w:t xml:space="preserve"> 更适合放在存储/HBM测试组合，不是光互连核心。</w:t>
      </w:r>
    </w:p>
    <w:p>
      <w:pPr>
        <w:pStyle w:val="Heading2"/>
      </w:pPr>
      <w:r>
        <w:rPr>
          <w:b w:val="0"/>
          <w:i w:val="0"/>
        </w:rPr>
        <w:t>7. SIVEF：方向性感，兑现度低</w:t>
      </w:r>
    </w:p>
    <w:p>
      <w:r>
        <w:rPr>
          <w:b w:val="0"/>
          <w:i w:val="0"/>
        </w:rPr>
        <w:t>Photonics + Wireless小票。机会管线约7.99亿美元，但Q1收入受美国政府停摆影响。AI data center lasers方向对，但管线不等于收入。</w:t>
      </w:r>
    </w:p>
    <w:p>
      <w:r>
        <w:rPr>
          <w:b/>
          <w:i w:val="0"/>
        </w:rPr>
        <w:t>判断：</w:t>
      </w:r>
      <w:r>
        <w:rPr>
          <w:b w:val="0"/>
          <w:i w:val="0"/>
        </w:rPr>
        <w:t xml:space="preserve"> 只能观察或极小仓彩票，不能进核心组合。</w:t>
      </w:r>
    </w:p>
    <w:p>
      <w:pPr>
        <w:pStyle w:val="Heading1"/>
      </w:pPr>
      <w:r>
        <w:rPr>
          <w:b w:val="0"/>
          <w:i w:val="0"/>
        </w:rPr>
        <w:t>二、综合排序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排名</w:t>
            </w:r>
          </w:p>
        </w:tc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标的</w:t>
            </w:r>
          </w:p>
        </w:tc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结论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LITE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激光器/光通信核心，必须有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COHR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光器件+材料+Datacom平台，必须有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CRDO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AI互连芯片/AEC/DSP/硅光，新增里最强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TSEM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硅光代工最硬，合同和预付款验证强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VIAV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测试设备卖铲子，稳健辅助仓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GLW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光纤/连接基础设施，稳仓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AVGO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AI网络/交换芯片/ASIC核心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GFS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硅光平台强，但业务太分散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9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NOK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光网络设备重估，便宜但电信噪音大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10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AAOI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光模块弹性大，但估值/融资/客户集中风险高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11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AXTI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InP材料瓶颈，适合小仓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12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FORM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好公司但更偏HBM/先进封装测试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13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SIVEF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早期彩票仓，兑现风险最高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b w:val="0"/>
          <w:i w:val="0"/>
        </w:rPr>
        <w:t>三、推荐的组合配置</w:t>
      </w:r>
    </w:p>
    <w:p>
      <w:pPr>
        <w:pStyle w:val="Heading2"/>
      </w:pPr>
      <w:r>
        <w:rPr>
          <w:b w:val="0"/>
          <w:i w:val="0"/>
        </w:rPr>
        <w:t>完整版（100%光互连总仓位）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角色</w:t>
            </w:r>
          </w:p>
        </w:tc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标的</w:t>
            </w:r>
          </w:p>
        </w:tc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占比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核心1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LITE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20%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核心2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COHR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20%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增强核心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CRDO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15%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硅光代工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TSEM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12%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测试卖铲子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VIAV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8%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稳仓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GLW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8%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AI网络上游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AVGO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7%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低估值光网络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NOK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弹性仓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AAOI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3%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材料小仓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AXTI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2%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b w:val="0"/>
          <w:i w:val="0"/>
        </w:rPr>
        <w:t>精简版（6只核心）</w:t>
      </w:r>
    </w:p>
    <w:p>
      <w:pPr>
        <w:ind w:left="227"/>
      </w:pPr>
      <w:r>
        <w:rPr>
          <w:b/>
          <w:i w:val="0"/>
        </w:rPr>
        <w:t>LITE + COHR + CRDO + TSEM + VIAV + GLW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标的</w:t>
            </w:r>
          </w:p>
        </w:tc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覆盖环节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LITE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激光器、光器件、云数据中心光通信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COHR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光模块/激光器/InP/Datacom平台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CRDO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AEC、SerDes、DSP、硅光PIC、NPO/CPO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TSEM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硅光代工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VIAV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光通信测试与验证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GLW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光纤、连接、数据中心布线基础设施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b w:val="0"/>
          <w:i w:val="0"/>
        </w:rPr>
        <w:t>四、最终判断</w:t>
      </w:r>
    </w:p>
    <w:p>
      <w:r>
        <w:rPr>
          <w:b w:val="0"/>
          <w:i w:val="0"/>
        </w:rPr>
        <w:t>新增标的中：</w:t>
      </w:r>
      <w:r>
        <w:rPr>
          <w:b/>
          <w:i w:val="0"/>
        </w:rPr>
        <w:t>最应该加的是 CRDO 和 TSEM。</w:t>
      </w:r>
      <w:r>
        <w:rPr>
          <w:b w:val="0"/>
          <w:i w:val="0"/>
        </w:rPr>
        <w:t xml:space="preserve"> VIAV可以作为辅助稳仓。GFS可以观察但优先级低于TSEM。AXTI只能小仓博InP瓶颈。FORM不该算光互连核心。SIVEF暂时只看不重仓。</w:t>
      </w:r>
    </w:p>
    <w:p>
      <w:r>
        <w:rPr>
          <w:b/>
          <w:i w:val="0"/>
        </w:rPr>
        <w:t>光互连组合核心应该从"光模块公司"升级成"激光器 + 光器件 + DSP/SerDes + 硅光代工 + 测试 + 光纤基础设施"的组合。</w:t>
      </w:r>
      <w:r>
        <w:rPr>
          <w:b w:val="0"/>
          <w:i w:val="0"/>
        </w:rPr>
        <w:t xml:space="preserve"> LITE/COHR打底，CRDO/TSEM增强，VIAV/GLW降波动，AAOI/AXTI只负责弹性。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XXY Alpha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8736B"/>
      </w:rPr>
      <w:t>XXY Alpha  /  Leslie 的研究笔记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80" w:lineRule="exact" w:after="160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="Arial Unicode MS" w:hAnsi="Arial Unicode MS" w:eastAsia="Arial Unicode MS"/>
      <w:b/>
      <w:bCs/>
      <w:color w:val="285B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="Arial Unicode MS" w:hAnsi="Arial Unicode MS" w:eastAsia="Arial Unicode MS"/>
      <w:b/>
      <w:bCs/>
      <w:color w:val="285B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="Arial Unicode MS" w:hAnsi="Arial Unicode MS" w:eastAsia="Arial Unicode MS"/>
      <w:b/>
      <w:bCs/>
      <w:color w:val="285B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Arial Unicode MS" w:hAnsi="Arial Unicode MS" w:eastAsia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/>
    </w:pPr>
    <w:rPr>
      <w:rFonts w:ascii="Arial Unicode MS" w:hAnsi="Arial Unicode MS" w:eastAsia="Arial Unicode MS"/>
      <w:b w:val="0"/>
      <w:bCs/>
      <w:color w:val="6873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xxyalpha.cn/articles/optical-portfolio-rebuild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光互连组合重建：从光模块到全链条</dc:title>
  <dc:subject>历史研究文章离线阅读版</dc:subject>
  <dc:creator>XXY Alpha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