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甲骨文FY26Q4财报：机构视角笔记</w:t>
      </w:r>
    </w:p>
    <w:p>
      <w:pPr>
        <w:pStyle w:val="Caption"/>
      </w:pPr>
      <w:r>
        <w:t>原文日期 2026-06-11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一、机构一句话判断</w:t>
      </w:r>
    </w:p>
    <w:p>
      <w:r>
        <w:rPr>
          <w:b w:val="0"/>
          <w:i w:val="0"/>
        </w:rPr>
        <w:t>这份财报的核心不是"好不好"，而是：</w:t>
      </w:r>
      <w:r>
        <w:rPr>
          <w:b/>
          <w:i w:val="0"/>
        </w:rPr>
        <w:t>需求端极强，订单端极强，但资本开支、融资、毛利率和自由现金流压力也同步放大。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维度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机构判断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基本面需求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强，OCI和AI基建订单继续验证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财务质量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有压力，FCF深度为负，融资需求上升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估值逻辑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从"高毛利软件公司"向"AI云基础设施重资产公司"切换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股价反应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跌的不是需求，是CapEx/债务/股权稀释/ROIC不确定性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二、财报核心数字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最新数据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机构解读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Q4总营收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191.84亿美元，+21%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超预期，但不是最大亮点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Q4 Cloud收入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99.13亿美元，+47%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云业务成为主引擎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OCI/IaaS收入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57.87亿美元，+93%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AI算力需求非常强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SaaS收入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41.26亿美元，+10%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稳定，但弹性弱于OCI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软件收入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68.24亿美元，-2%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传统软件被云迁移稀释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FY26总营收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673.57亿美元，+17%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高基数下仍加速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FY26 Cloud收入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339.89亿美元，+39%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云收入占比已经过半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FY26 OCI收入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181.01亿美元，+77%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甲骨文真正的增量来源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FY26经营现金流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320亿美元，+54%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经营端仍强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FY26自由现金流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-237亿美元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机构最担心的点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三、最关键的指标：RPO</w:t>
      </w:r>
    </w:p>
    <w:p>
      <w:r>
        <w:rPr>
          <w:b w:val="0"/>
          <w:i w:val="0"/>
        </w:rPr>
        <w:t>RPO = Remaining Performance Obligations，剩余履约义务。可以理解为已经签下、未来会逐步确认的合同收入。</w:t>
      </w:r>
    </w:p>
    <w:p>
      <w:r>
        <w:rPr>
          <w:b w:val="0"/>
          <w:i w:val="0"/>
        </w:rPr>
        <w:t xml:space="preserve">甲骨文本季度 RPO 达到 </w:t>
      </w:r>
      <w:r>
        <w:rPr>
          <w:b/>
          <w:i w:val="0"/>
        </w:rPr>
        <w:t>6380亿美元，同比+363%</w:t>
      </w:r>
      <w:r>
        <w:rPr>
          <w:b w:val="0"/>
          <w:i w:val="0"/>
        </w:rPr>
        <w:t xml:space="preserve">，环比从5530亿美元增加850亿美元。这不是普通软件公司级别的订单，而是AI云基础设施订单级别的爆发。官方还披露，大型AI合同里，客户预付GPU或客户自带GPU部分合计已经达到 </w:t>
      </w:r>
      <w:r>
        <w:rPr>
          <w:b/>
          <w:i w:val="0"/>
        </w:rPr>
        <w:t>750亿美元</w:t>
      </w:r>
      <w:r>
        <w:rPr>
          <w:b w:val="0"/>
          <w:i w:val="0"/>
        </w:rPr>
        <w:t>，这能部分降低甲骨文自己垫资买硬件的压力。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机构问题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判断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订单真实不真实？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真实，RPO和客户预付款说明需求不是PPT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订单能不能变收入？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能，但取决于数据中心交付、GPU、电力、网络、冷却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订单质量高不高？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需要观察毛利率和现金回收节奏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是否全部利好？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不是。订单越大，CapEx和融资压力越大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管理层在电话会上说，RPO中12%预计未来12个月确认收入，34%预计在第13-36个月确认。换算即未来12个月约765.6亿美元，之后两年约2169亿美元有望确认。</w:t>
      </w:r>
    </w:p>
    <w:p>
      <w:pPr>
        <w:pStyle w:val="Heading1"/>
      </w:pPr>
      <w:r>
        <w:rPr>
          <w:b w:val="0"/>
          <w:i w:val="0"/>
        </w:rPr>
        <w:t>四、为什么财报强，股价还跌？</w:t>
      </w:r>
    </w:p>
    <w:p>
      <w:r>
        <w:rPr>
          <w:b w:val="0"/>
          <w:i w:val="0"/>
        </w:rPr>
        <w:t>机构看财报不是看"营收和EPS有没有beat"这么简单，而是看：</w:t>
      </w:r>
      <w:r>
        <w:rPr>
          <w:b/>
          <w:i w:val="0"/>
        </w:rPr>
        <w:t>上修收入的同时，是否也上修了资本开支、债务、摊薄和利润率压力。</w:t>
      </w:r>
    </w:p>
    <w:p>
      <w:r>
        <w:rPr>
          <w:b w:val="0"/>
          <w:i w:val="0"/>
        </w:rPr>
        <w:t>Reuters披露，甲骨文FY26资本开支达到556.6亿美元，高于此前500亿美元目标；FY27 CapEx最高可能到950亿美元，其中约700亿美元为甲骨文自身支出，另有200-250亿美元预计由客户偿还。甲骨文还预计FY27通过债务和股权融资约400亿美元。</w:t>
      </w:r>
    </w:p>
    <w:p>
      <w:r>
        <w:rPr>
          <w:b w:val="0"/>
          <w:i w:val="0"/>
        </w:rPr>
        <w:t>市场的逻辑链条：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需求强 → 应该涨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需求太强 → 必须疯狂建数据中心 → CapEx暴增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CapEx暴增 → FCF转负、债务上升、可能股权稀释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估值从软件公司变成AI基建公司 → 估值倍数下修</w:t>
      </w:r>
    </w:p>
    <w:p>
      <w:r>
        <w:rPr>
          <w:b w:val="0"/>
          <w:i w:val="0"/>
        </w:rPr>
        <w:t>这就是机构砸盘的真正原因。</w:t>
      </w:r>
    </w:p>
    <w:p>
      <w:pPr>
        <w:pStyle w:val="Heading1"/>
      </w:pPr>
      <w:r>
        <w:rPr>
          <w:b w:val="0"/>
          <w:i w:val="0"/>
        </w:rPr>
        <w:t>五、EPS beat的质量要打折</w:t>
      </w:r>
    </w:p>
    <w:p>
      <w:r>
        <w:rPr>
          <w:b w:val="0"/>
          <w:i w:val="0"/>
        </w:rPr>
        <w:t>表面上Q4 Non-GAAP EPS是2.11美元，同比+24%。但官方脚注说明，这里面包含一次性投资收益；剔除该收益后，Q4 Non-GAAP EPS是2.03美元，同比+20%。FY26 Non-GAAP EPS表面是7.63美元，但剔除一次性收益后是6.83美元。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表面数据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机构调整后看法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EPS 2.11，beat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要剔除一次性投资收益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EPS同比+24%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可比口径大约+20%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FY26 EPS 7.63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可比口径6.83更重要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FY27 EPS指引8.05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要看是否能覆盖融资和毛利率压力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六、毛利率：机构最敏感的隐性问题</w:t>
      </w:r>
    </w:p>
    <w:p>
      <w:r>
        <w:rPr>
          <w:b w:val="0"/>
          <w:i w:val="0"/>
        </w:rPr>
        <w:t>CFO在电话会上说，FY26全年毛利率下降约5个百分点，主要因为基础设施业务扩张和数据中心建设影响。甲骨文现在遇到的是典型AI云转型矛盾：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原业务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新业务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数据库/软件订阅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AI云基础设施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高毛利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较低毛利、重资产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低CapEx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高CapEx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FCF强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FCF短期承压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软件估值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基建估值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七、管理层想讲的故事</w:t>
      </w:r>
    </w:p>
    <w:p>
      <w:r>
        <w:rPr>
          <w:b w:val="0"/>
          <w:i w:val="0"/>
        </w:rPr>
        <w:t>管理层想让市场相信三件事：</w:t>
      </w:r>
    </w:p>
    <w:p>
      <w:r>
        <w:rPr>
          <w:b/>
          <w:i w:val="0"/>
        </w:rPr>
        <w:t>第一，OCI不是短期爆发，而是长期万亿美元级市场。</w:t>
      </w:r>
      <w:r>
        <w:rPr>
          <w:b w:val="0"/>
          <w:i w:val="0"/>
        </w:rPr>
        <w:t xml:space="preserve"> 电话会上管理层称，AI基础设施让原有云基础设施市场显得很小，目标利润率框架为30%-40%。</w:t>
      </w:r>
    </w:p>
    <w:p>
      <w:r>
        <w:rPr>
          <w:b/>
          <w:i w:val="0"/>
        </w:rPr>
        <w:t>第二，客户愿意提前出钱，说明订单质量高。</w:t>
      </w:r>
      <w:r>
        <w:rPr>
          <w:b w:val="0"/>
          <w:i w:val="0"/>
        </w:rPr>
        <w:t xml:space="preserve"> 本季度签下670亿美元AI基础设施合同，客户预付/自带硬件合计达750亿美元，管理层表示这类合同不会拉低利润率。</w:t>
      </w:r>
    </w:p>
    <w:p>
      <w:r>
        <w:rPr>
          <w:b/>
          <w:i w:val="0"/>
        </w:rPr>
        <w:t>第三，交付速度正在加快。</w:t>
      </w:r>
      <w:r>
        <w:rPr>
          <w:b w:val="0"/>
          <w:i w:val="0"/>
        </w:rPr>
        <w:t xml:space="preserve"> FY26交付超过1.2GW给客户，FY27 Q1交付接近1GW，几乎相当于过去四个季度交付量总和；全球GPU利用率为97.5%。</w:t>
      </w:r>
    </w:p>
    <w:p>
      <w:pPr>
        <w:pStyle w:val="Heading1"/>
      </w:pPr>
      <w:r>
        <w:rPr>
          <w:b w:val="0"/>
          <w:i w:val="0"/>
        </w:rPr>
        <w:t>八、多空双方的核心分歧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多头机构会说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空头机构会说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RPO 6380亿美元，收入可见度极强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RPO不是现金流，兑现需要巨额CapEx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OCI +93%，甲骨文进入AI云核心牌桌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OCI增速强，但毛利低于传统软件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客户预付/自带GPU 750亿美元，降低垫资压力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仍需FY27融资约400亿美元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AI数据中心需求没有放缓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需求强不等于股东回报强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FY27营收目标900亿美元，增长确定性高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FCF转负，估值体系要重估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GPU利用率97.5%，没有闲置风险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数据中心建设、供电、冷却、网络都可能拖累交付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九、对AI产业链的机构解读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产业链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影响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NVDA/GPU链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需求继续被验证。Oracle大规模RPO和GW级交付说明AI算力需求仍强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AVGO/MRVL/网络芯片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数据中心规模扩大，高速网络、交换、定制芯片需求增强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LITE/COHR/AAOI/光通信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中长期受益。OCI建设越快，数据中心互联、激光器、光模块需求越强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GLW/光纤光缆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大型AI数据中心园区和跨园区互联强化光纤需求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MU/DRAM/HBM/存储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AI服务器扩张继续拉动HBM、DDR、SSD、企业级存储需求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电力/液冷/燃气/燃料电池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最直接受益之一。Oracle明确强调数据中心能源方案，电力瓶颈继续成为主线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十、交易笔记</w:t>
      </w:r>
    </w:p>
    <w:p>
      <w:pPr>
        <w:pStyle w:val="Heading2"/>
      </w:pPr>
      <w:r>
        <w:rPr>
          <w:b w:val="0"/>
          <w:i w:val="0"/>
        </w:rPr>
        <w:t>对ORCL本身</w:t>
      </w:r>
    </w:p>
    <w:p>
      <w:r>
        <w:rPr>
          <w:b w:val="0"/>
          <w:i w:val="0"/>
        </w:rPr>
        <w:t>我不会把它定义成"财报暴雷"。更准确是：</w:t>
      </w:r>
      <w:r>
        <w:rPr>
          <w:b/>
          <w:i w:val="0"/>
        </w:rPr>
        <w:t>财报强，但估值逻辑变复杂。</w:t>
      </w:r>
    </w:p>
    <w:p>
      <w:r>
        <w:rPr>
          <w:b w:val="0"/>
          <w:i w:val="0"/>
        </w:rPr>
        <w:t>短线不适合简单追涨或抄底，原因是市场现在要重新定价三个东西：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FY27 950亿美元CapEx是否继续上修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400亿美元融资是否造成债务压力和股权稀释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OCI毛利率能否稳定在管理层说的30%-40%框架内</w:t>
      </w:r>
    </w:p>
    <w:p>
      <w:pPr>
        <w:pStyle w:val="Heading2"/>
      </w:pPr>
      <w:r>
        <w:rPr>
          <w:b w:val="0"/>
          <w:i w:val="0"/>
        </w:rPr>
        <w:t>对AI主线</w:t>
      </w:r>
    </w:p>
    <w:p>
      <w:r>
        <w:rPr>
          <w:b w:val="0"/>
          <w:i w:val="0"/>
        </w:rPr>
        <w:t>这份财报更像是一个产业链信号：Oracle不是AI需求变弱的证据，而是</w:t>
      </w:r>
      <w:r>
        <w:rPr>
          <w:b/>
          <w:i w:val="0"/>
        </w:rPr>
        <w:t>AI需求强到让市场开始担心融资和电力瓶颈的证据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所以交易上不要把它理解成"AI结束"。更合理的理解是：</w:t>
      </w:r>
    </w:p>
    <w:p>
      <w:r>
        <w:rPr>
          <w:b w:val="0"/>
          <w:i w:val="0"/>
        </w:rPr>
        <w:t>AI第一阶段交易"订单和收入高增长"；</w:t>
      </w:r>
      <w:r>
        <w:br/>
      </w:r>
      <w:r>
        <w:rPr>
          <w:b w:val="0"/>
          <w:i w:val="0"/>
        </w:rPr>
        <w:t>AI第二阶段开始交易"谁能在高CapEx周期里真正赚到现金流"。</w:t>
      </w:r>
    </w:p>
    <w:p>
      <w:pPr>
        <w:pStyle w:val="Heading1"/>
      </w:pPr>
      <w:r>
        <w:rPr>
          <w:b w:val="0"/>
          <w:i w:val="0"/>
        </w:rPr>
        <w:t>十一、后续跟踪清单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跟踪项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为什么重要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ORCL FY27 CapEx是否继续上修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决定市场是否继续压估值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RPO确认比例是否提高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决定订单能否变收入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客户预付款/自带GPU金额是否继续增加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决定甲骨文垫资压力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OCI毛利率变化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决定AI云是不是好生意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自由现金流是否改善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决定股价能否真正修复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信用评级/债务成本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决定融资压力是否扩散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NVDA/AVGO/MU/光模块股反应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判断产业链是否接受"需求继续强"的逻辑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电力、液冷、燃气、燃料电池链条反应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判断市场是否继续交易AI数据中心瓶颈</w:t>
            </w:r>
          </w:p>
        </w:tc>
      </w:tr>
    </w:tbl>
    <w:p>
      <w:pPr>
        <w:spacing w:after="60"/>
      </w:pPr>
    </w:p>
    <w:p>
      <w:r>
        <w:rPr>
          <w:b/>
          <w:i w:val="0"/>
        </w:rPr>
        <w:t>最终归纳：</w:t>
      </w:r>
      <w:r>
        <w:rPr>
          <w:b w:val="0"/>
          <w:i w:val="0"/>
        </w:rPr>
        <w:t>Oracle证明了AI云需求非常强，但也证明了AI基础设施不是轻资产故事；接下来市场不会只奖励订单，而会要求现金流、毛利率和资本回报兑现。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oracle-fy2026-q4-earn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甲骨文FY26Q4财报：机构视角笔记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