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SemiAnalysis：AI算力紧缺并未结束，2026年或再次进入供给瓶颈</w:t>
      </w:r>
    </w:p>
    <w:p>
      <w:pPr>
        <w:pStyle w:val="Caption"/>
      </w:pPr>
      <w:r>
        <w:t>原文日期 2026-06-14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r>
        <w:rPr>
          <w:b w:val="0"/>
          <w:i w:val="0"/>
        </w:rPr>
        <w:t>SemiAnalysis周五向机构客户发布的最新半导体调研报告显示：AI算力市场并未进入供给过剩阶段，反而在2026年初再次出现紧缺现象。</w:t>
      </w:r>
    </w:p>
    <w:p>
      <w:pPr>
        <w:pStyle w:val="Heading1"/>
      </w:pPr>
      <w:r>
        <w:rPr>
          <w:b w:val="0"/>
          <w:i w:val="0"/>
        </w:rPr>
        <w:t>核心观点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H100一年期租赁价格从2025年10月低点1.7美元/小时上涨至2.35美元/小时，反弹约40%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H100/H200集群普遍售罄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Blackwell交付周期延长至6-7个月</w:t>
      </w:r>
    </w:p>
    <w:p>
      <w:r>
        <w:rPr>
          <w:b w:val="0"/>
          <w:i w:val="0"/>
        </w:rPr>
        <w:t>SemiAnalysis认为，本轮需求与2023年的训练驱动型GPU抢购存在本质区别。2023年的核心需求来自模型训练，而当前需求已逐渐转向Agent（智能体）和推理（Inference）。随着AI开始真正创造收入，Token成本已经从研发成本转变为生产成本。在这种情况下，企业对于GPU价格上涨的敏感度下降，即使GPU租赁价格持续上涨，企业仍会继续扩容。</w:t>
      </w:r>
    </w:p>
    <w:p>
      <w:r>
        <w:rPr>
          <w:b w:val="0"/>
          <w:i w:val="0"/>
        </w:rPr>
        <w:t>对于半导体产业链：利好NVDA、AMD（需求外溢）、HBM存储链（MU、SK海力士）、高速网络与光互联（MRVL、COHR、LITE等）。</w:t>
      </w:r>
    </w:p>
    <w:p>
      <w:pPr>
        <w:pStyle w:val="Heading1"/>
      </w:pPr>
      <w:r>
        <w:rPr>
          <w:b w:val="0"/>
          <w:i w:val="0"/>
        </w:rPr>
        <w:t>一、最关键的信息：供给过剩逻辑正在被证伪</w:t>
      </w:r>
    </w:p>
    <w:p>
      <w:r>
        <w:rPr>
          <w:b w:val="0"/>
          <w:i w:val="0"/>
        </w:rPr>
        <w:t>过去半年市场一直在交易AI资本开支见顶，背后对应的是GPU供给过剩、数据中心建设放缓、云厂商采购降温。因此NVDA、MU、光模块、AI电力链都出现过明显估值压缩。</w:t>
      </w:r>
    </w:p>
    <w:p>
      <w:r>
        <w:rPr>
          <w:b w:val="0"/>
          <w:i w:val="0"/>
        </w:rPr>
        <w:t>SemiAnalysis此次调研用真实价格和交付周期证明：</w:t>
      </w:r>
      <w:r>
        <w:rPr>
          <w:b/>
          <w:i w:val="0"/>
        </w:rPr>
        <w:t>GPU仍然是稀缺资源。</w:t>
      </w:r>
      <w:r>
        <w:rPr>
          <w:b w:val="0"/>
          <w:i w:val="0"/>
        </w:rPr>
        <w:t xml:space="preserve"> 如果租赁价格上涨、交期拉长同时发生，市场最担心的库存积压并未出现。</w:t>
      </w:r>
    </w:p>
    <w:p>
      <w:pPr>
        <w:pStyle w:val="Heading1"/>
      </w:pPr>
      <w:r>
        <w:rPr>
          <w:b w:val="0"/>
          <w:i w:val="0"/>
        </w:rPr>
        <w:t>二、训练时代正在进入推理时代</w:t>
      </w:r>
    </w:p>
    <w:p>
      <w:r>
        <w:rPr>
          <w:b w:val="0"/>
          <w:i w:val="0"/>
        </w:rPr>
        <w:t>第一阶段（2023-2025）：市场主要购买GPU用于训练模型——一次性投入、项目制需求、容易出现周期波动。</w:t>
      </w:r>
    </w:p>
    <w:p>
      <w:r>
        <w:rPr>
          <w:b w:val="0"/>
          <w:i w:val="0"/>
        </w:rPr>
        <w:t>第二阶段（2026开始）：需求逐渐转向推理和Agent——持续消耗算力、与用户规模直接挂钩、更接近云计算模式。</w:t>
      </w:r>
    </w:p>
    <w:p>
      <w:r>
        <w:rPr>
          <w:b w:val="0"/>
          <w:i w:val="0"/>
        </w:rPr>
        <w:t>训练决定需求的起点，推理决定需求的终点。推理市场的天花板远高于训练市场。</w:t>
      </w:r>
    </w:p>
    <w:p>
      <w:pPr>
        <w:pStyle w:val="Heading1"/>
      </w:pPr>
      <w:r>
        <w:rPr>
          <w:b w:val="0"/>
          <w:i w:val="0"/>
        </w:rPr>
        <w:t>三、为什么GPU涨价反而是利好？</w:t>
      </w:r>
    </w:p>
    <w:p>
      <w:r>
        <w:rPr>
          <w:b w:val="0"/>
          <w:i w:val="0"/>
        </w:rPr>
        <w:t>传统行业：价格上涨→需求下降。但AI行业的逻辑不同——客户计算的是ROI。如果100万美元GPU投入能创造300万美元收入，那么GPU价格上涨20-30%并不会改变投资决策。</w:t>
      </w:r>
    </w:p>
    <w:p>
      <w:r>
        <w:rPr>
          <w:b w:val="0"/>
          <w:i w:val="0"/>
        </w:rPr>
        <w:t>ChatGPT、Claude、Gemini、企业Agent开始进入商业化收费阶段后，Token已经成为收入来源。GPU不再只是成本中心，而是生产工具。这意味着未来GPU的定价权可能比市场想象得更强。</w:t>
      </w:r>
    </w:p>
    <w:p>
      <w:pPr>
        <w:pStyle w:val="Heading1"/>
      </w:pPr>
      <w:r>
        <w:rPr>
          <w:b w:val="0"/>
          <w:i w:val="0"/>
        </w:rPr>
        <w:t>四、产业链受益顺序</w:t>
      </w:r>
    </w:p>
    <w:p>
      <w:pPr>
        <w:pStyle w:val="Heading2"/>
      </w:pPr>
      <w:r>
        <w:rPr>
          <w:b w:val="0"/>
          <w:i w:val="0"/>
        </w:rPr>
        <w:t>第一层：GPU</w:t>
      </w:r>
    </w:p>
    <w:p>
      <w:r>
        <w:rPr>
          <w:b/>
          <w:i w:val="0"/>
        </w:rPr>
        <w:t>NVDA、AMD</w:t>
      </w:r>
      <w:r>
        <w:rPr>
          <w:b w:val="0"/>
          <w:i w:val="0"/>
        </w:rPr>
        <w:t xml:space="preserve"> — GPU需求持续强劲，NVDA交付周期延长意味着订单可见度提高，AMD承接需求外溢。</w:t>
      </w:r>
    </w:p>
    <w:p>
      <w:pPr>
        <w:pStyle w:val="Heading2"/>
      </w:pPr>
      <w:r>
        <w:rPr>
          <w:b w:val="0"/>
          <w:i w:val="0"/>
        </w:rPr>
        <w:t>第二层：HBM存储</w:t>
      </w:r>
    </w:p>
    <w:p>
      <w:r>
        <w:rPr>
          <w:b/>
          <w:i w:val="0"/>
        </w:rPr>
        <w:t>MU、SK海力士</w:t>
      </w:r>
      <w:r>
        <w:rPr>
          <w:b w:val="0"/>
          <w:i w:val="0"/>
        </w:rPr>
        <w:t xml:space="preserve"> — HBM已成为AI服务器最重要的价值量增长环节。Bernstein拆解显示NVL72机柜内存成本约320万美元，占整机柜成本35%。</w:t>
      </w:r>
    </w:p>
    <w:p>
      <w:pPr>
        <w:pStyle w:val="Heading2"/>
      </w:pPr>
      <w:r>
        <w:rPr>
          <w:b w:val="0"/>
          <w:i w:val="0"/>
        </w:rPr>
        <w:t>第三层：高速互联与光模块</w:t>
      </w:r>
    </w:p>
    <w:p>
      <w:r>
        <w:rPr>
          <w:b/>
          <w:i w:val="0"/>
        </w:rPr>
        <w:t>LITE、COHR、MRVL</w:t>
      </w:r>
      <w:r>
        <w:rPr>
          <w:b w:val="0"/>
          <w:i w:val="0"/>
        </w:rPr>
        <w:t xml:space="preserve"> — GPU数量越多，网络价值量增长越快。从Blackwell到Vera Rubin，单机柜GPU数量继续增加，光模块逻辑不限于800G→1.6T，而是AI Factory规模扩张带来的系统性受益。</w:t>
      </w:r>
    </w:p>
    <w:p>
      <w:pPr>
        <w:pStyle w:val="Heading1"/>
      </w:pPr>
      <w:r>
        <w:rPr>
          <w:b w:val="0"/>
          <w:i w:val="0"/>
        </w:rPr>
        <w:t>五、风险点</w:t>
      </w:r>
    </w:p>
    <w:p>
      <w:r>
        <w:rPr>
          <w:b w:val="0"/>
          <w:i w:val="0"/>
        </w:rPr>
        <w:t>本报告成立的前提是AI应用收入持续增长，需观察：OpenAI商业化收入、Copilot企业付费用户增长、Gemini商业化进展、Agent部署数量、推理Token消费量。如果未来AI收入增长明显放缓，GPU需求扩张逻辑可能受阻。</w:t>
      </w:r>
    </w:p>
    <w:p>
      <w:pPr>
        <w:pStyle w:val="Heading1"/>
      </w:pPr>
      <w:r>
        <w:rPr>
          <w:b w:val="0"/>
          <w:i w:val="0"/>
        </w:rPr>
        <w:t>结论</w:t>
      </w:r>
    </w:p>
    <w:p>
      <w:r>
        <w:rPr>
          <w:b w:val="0"/>
          <w:i w:val="0"/>
        </w:rPr>
        <w:t>市场当前仍在担心"AI资本开支见顶"，而SemiAnalysis给出的证据指向相反方向：GPU租赁价格上涨、集群持续售罄、Blackwell交期拉长——AI基础设施建设周期并未结束。</w:t>
      </w:r>
    </w:p>
    <w:p>
      <w:r>
        <w:rPr>
          <w:b w:val="0"/>
          <w:i w:val="0"/>
        </w:rPr>
        <w:t>更重要的是，本轮需求驱动力已从训练转向推理与Agent，AI算力需求开始具备持续消耗属性。如果这一趋势得到验证，未来几年最值得关注的方向可能不是GPU本身，而是GPU背后的两大瓶颈：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HBM存储（MU、SK海力士）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光互联与高速网络（LITE、COHR、MRVL）</w:t>
      </w:r>
    </w:p>
    <w:p>
      <w:pPr>
        <w:ind w:left="227"/>
      </w:pPr>
      <w:r>
        <w:rPr>
          <w:b/>
          <w:i w:val="0"/>
        </w:rPr>
        <w:t>2023年市场买GPU是在训练模型；2026年市场买GPU是在运营AI业务。前者是资本开支，后者更接近生产资料。一旦这个判断成立，AI基础设施周期的持续时间就会比市场原先预期长得多，而当前重仓的"存储+光互联"正好位于这轮扩张中最容易形成瓶颈的两个环节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0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semi-analysis-ai-gpu-scarcit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SemiAnalysis：AI算力紧缺并未结束，2026年或再次进入供给瓶颈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