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半导体设备四巨头深度分析：ASML、AMAT、LRCX、KLAC</w:t>
      </w:r>
    </w:p>
    <w:p>
      <w:pPr>
        <w:pStyle w:val="Caption"/>
      </w:pPr>
      <w:r>
        <w:t>原文日期 2026-06-30    文件生成 2026-09-12</w:t>
      </w:r>
    </w:p>
    <w:p>
      <w:hyperlink r:id="rId11">
        <w:r>
          <w:rPr>
            <w:color w:val="285B49"/>
            <w:u w:val="single"/>
          </w:rPr>
          <w:t>阅读网站原文</w:t>
        </w:r>
      </w:hyperlink>
    </w:p>
    <w:p>
      <w:pPr>
        <w:pStyle w:val="Caption"/>
      </w:pPr>
      <w:r>
        <w:t>离线阅读版保留原文观点与日期，不代表当前判断。来源链接可点击；网页的最新修订以原文为准。</w:t>
      </w:r>
    </w:p>
    <w:p>
      <w:pPr>
        <w:pStyle w:val="Heading1"/>
      </w:pPr>
      <w:r>
        <w:rPr>
          <w:b w:val="0"/>
          <w:i w:val="0"/>
        </w:rPr>
        <w:t>一句话先建立全局认识</w:t>
      </w:r>
    </w:p>
    <w:p>
      <w:r>
        <w:rPr>
          <w:b w:val="0"/>
          <w:i w:val="0"/>
        </w:rPr>
        <w:t>这四家公司不是在卖"芯片"，而是在卖"制造芯片的生产工具"。</w:t>
      </w:r>
    </w:p>
    <w:p>
      <w:pPr>
        <w:ind w:left="255" w:hanging="198"/>
      </w:pPr>
      <w:r>
        <w:t xml:space="preserve">• </w:t>
      </w:r>
      <w:r>
        <w:rPr>
          <w:b/>
          <w:i w:val="0"/>
        </w:rPr>
        <w:t>ASML</w:t>
      </w:r>
      <w:r>
        <w:rPr>
          <w:b w:val="0"/>
          <w:i w:val="0"/>
        </w:rPr>
        <w:t>：负责把电路图形"印"到晶圆上，是光刻核心。</w:t>
      </w:r>
    </w:p>
    <w:p>
      <w:pPr>
        <w:ind w:left="255" w:hanging="198"/>
      </w:pPr>
      <w:r>
        <w:t xml:space="preserve">• </w:t>
      </w:r>
      <w:r>
        <w:rPr>
          <w:b/>
          <w:i w:val="0"/>
        </w:rPr>
        <w:t>AMAT</w:t>
      </w:r>
      <w:r>
        <w:rPr>
          <w:b w:val="0"/>
          <w:i w:val="0"/>
        </w:rPr>
        <w:t>：负责在晶圆上沉积、改变、抛平各种材料，产品线最全面。</w:t>
      </w:r>
    </w:p>
    <w:p>
      <w:pPr>
        <w:ind w:left="255" w:hanging="198"/>
      </w:pPr>
      <w:r>
        <w:t xml:space="preserve">• </w:t>
      </w:r>
      <w:r>
        <w:rPr>
          <w:b/>
          <w:i w:val="0"/>
        </w:rPr>
        <w:t>LRCX</w:t>
      </w:r>
      <w:r>
        <w:rPr>
          <w:b w:val="0"/>
          <w:i w:val="0"/>
        </w:rPr>
        <w:t>：负责刻蚀、沉积和清洗，尤其擅长制造深孔、立体结构。</w:t>
      </w:r>
    </w:p>
    <w:p>
      <w:pPr>
        <w:ind w:left="255" w:hanging="198"/>
      </w:pPr>
      <w:r>
        <w:t xml:space="preserve">• </w:t>
      </w:r>
      <w:r>
        <w:rPr>
          <w:b/>
          <w:i w:val="0"/>
        </w:rPr>
        <w:t>KLAC</w:t>
      </w:r>
      <w:r>
        <w:rPr>
          <w:b w:val="0"/>
          <w:i w:val="0"/>
        </w:rPr>
        <w:t>：负责检查缺陷、测量尺寸、分析良率，是晶圆厂的"眼睛和质量控制系统"。</w:t>
      </w:r>
    </w:p>
    <w:p>
      <w:r>
        <w:rPr>
          <w:b w:val="0"/>
          <w:i w:val="0"/>
        </w:rPr>
        <w:t>以英伟达GPU为例，英伟达主要负责芯片设计，代工厂在晶圆厂里使用ASML、AMAT、LRCX和KLAC的设备完成制造。设备公司通常不按照每颗GPU抽成，它们赚的是晶圆厂扩产、升级制程、提高良率和维护设备的钱。</w:t>
      </w:r>
    </w:p>
    <w:p>
      <w:pPr>
        <w:pStyle w:val="Heading1"/>
      </w:pPr>
      <w:r>
        <w:rPr>
          <w:b w:val="0"/>
          <w:i w:val="0"/>
        </w:rPr>
        <w:t>一、先从一片芯片是怎么做出来的讲起</w:t>
      </w:r>
    </w:p>
    <w:p>
      <w:r>
        <w:rPr>
          <w:b w:val="0"/>
          <w:i w:val="0"/>
        </w:rPr>
        <w:t>一块先进GPU、CPU或存储芯片，并不是一次加工成形，而是在晶圆上不断重复以下循环：</w:t>
      </w:r>
    </w:p>
    <w:p>
      <w:pPr>
        <w:ind w:left="227"/>
      </w:pPr>
      <w:r>
        <w:rPr>
          <w:b w:val="0"/>
          <w:i w:val="0"/>
        </w:rPr>
        <w:t>沉积材料 → 涂光刻胶 → 光刻曝光 → 刻蚀 → 清洗 → 测量检查 → 再沉积下一层</w:t>
      </w:r>
    </w:p>
    <w:tbl>
      <w:tblPr>
        <w:tblStyle w:val="TableGrid"/>
        <w:tblW w:type="auto" w:w="0"/>
        <w:tblLayout w:type="fixed"/>
        <w:tblLook w:firstColumn="1" w:firstRow="1" w:lastColumn="0" w:lastRow="0" w:noHBand="0" w:noVBand="1" w:val="04A0"/>
      </w:tblPr>
      <w:tblGrid>
        <w:gridCol w:w="3137"/>
        <w:gridCol w:w="3137"/>
        <w:gridCol w:w="3137"/>
      </w:tblGrid>
      <w:tr>
        <w:trPr>
          <w:tblHeader/>
        </w:trPr>
        <w:tc>
          <w:tcPr>
            <w:tcW w:type="dxa" w:w="3137"/>
            <w:shd w:fill="E9EEE6"/>
          </w:tcPr>
          <w:p>
            <w:pPr>
              <w:spacing w:after="80" w:before="80" w:line="280" w:lineRule="exact"/>
            </w:pPr>
            <w:r>
              <w:rPr>
                <w:b/>
                <w:i w:val="0"/>
                <w:sz w:val="20"/>
              </w:rPr>
              <w:t>工序</w:t>
            </w:r>
          </w:p>
        </w:tc>
        <w:tc>
          <w:tcPr>
            <w:tcW w:type="dxa" w:w="3137"/>
            <w:shd w:fill="E9EEE6"/>
          </w:tcPr>
          <w:p>
            <w:pPr>
              <w:spacing w:after="80" w:before="80" w:line="280" w:lineRule="exact"/>
            </w:pPr>
            <w:r>
              <w:rPr>
                <w:b/>
                <w:i w:val="0"/>
                <w:sz w:val="20"/>
              </w:rPr>
              <w:t>通俗理解</w:t>
            </w:r>
          </w:p>
        </w:tc>
        <w:tc>
          <w:tcPr>
            <w:tcW w:type="dxa" w:w="3137"/>
            <w:shd w:fill="E9EEE6"/>
          </w:tcPr>
          <w:p>
            <w:pPr>
              <w:spacing w:after="80" w:before="80" w:line="280" w:lineRule="exact"/>
            </w:pPr>
            <w:r>
              <w:rPr>
                <w:b/>
                <w:i w:val="0"/>
                <w:sz w:val="20"/>
              </w:rPr>
              <w:t>主要公司</w:t>
            </w:r>
          </w:p>
        </w:tc>
      </w:tr>
      <w:tr>
        <w:tc>
          <w:tcPr>
            <w:tcW w:type="dxa" w:w="3137"/>
          </w:tcPr>
          <w:p>
            <w:pPr>
              <w:spacing w:after="80" w:before="80" w:line="280" w:lineRule="exact"/>
            </w:pPr>
            <w:r>
              <w:rPr>
                <w:b w:val="0"/>
                <w:i w:val="0"/>
                <w:sz w:val="20"/>
              </w:rPr>
              <w:t>薄膜沉积</w:t>
            </w:r>
          </w:p>
        </w:tc>
        <w:tc>
          <w:tcPr>
            <w:tcW w:type="dxa" w:w="3137"/>
          </w:tcPr>
          <w:p>
            <w:pPr>
              <w:spacing w:after="80" w:before="80" w:line="280" w:lineRule="exact"/>
            </w:pPr>
            <w:r>
              <w:rPr>
                <w:b w:val="0"/>
                <w:i w:val="0"/>
                <w:sz w:val="20"/>
              </w:rPr>
              <w:t>给晶圆铺上一层极薄材料</w:t>
            </w:r>
          </w:p>
        </w:tc>
        <w:tc>
          <w:tcPr>
            <w:tcW w:type="dxa" w:w="3137"/>
          </w:tcPr>
          <w:p>
            <w:pPr>
              <w:spacing w:after="80" w:before="80" w:line="280" w:lineRule="exact"/>
            </w:pPr>
            <w:r>
              <w:rPr>
                <w:b w:val="0"/>
                <w:i w:val="0"/>
                <w:sz w:val="20"/>
              </w:rPr>
              <w:t>AMAT、LRCX</w:t>
            </w:r>
          </w:p>
        </w:tc>
      </w:tr>
      <w:tr>
        <w:tc>
          <w:tcPr>
            <w:tcW w:type="dxa" w:w="3137"/>
          </w:tcPr>
          <w:p>
            <w:pPr>
              <w:spacing w:after="80" w:before="80" w:line="280" w:lineRule="exact"/>
            </w:pPr>
            <w:r>
              <w:rPr>
                <w:b w:val="0"/>
                <w:i w:val="0"/>
                <w:sz w:val="20"/>
              </w:rPr>
              <w:t>光刻</w:t>
            </w:r>
          </w:p>
        </w:tc>
        <w:tc>
          <w:tcPr>
            <w:tcW w:type="dxa" w:w="3137"/>
          </w:tcPr>
          <w:p>
            <w:pPr>
              <w:spacing w:after="80" w:before="80" w:line="280" w:lineRule="exact"/>
            </w:pPr>
            <w:r>
              <w:rPr>
                <w:b w:val="0"/>
                <w:i w:val="0"/>
                <w:sz w:val="20"/>
              </w:rPr>
              <w:t>把电路图形投影到晶圆上</w:t>
            </w:r>
          </w:p>
        </w:tc>
        <w:tc>
          <w:tcPr>
            <w:tcW w:type="dxa" w:w="3137"/>
          </w:tcPr>
          <w:p>
            <w:pPr>
              <w:spacing w:after="80" w:before="80" w:line="280" w:lineRule="exact"/>
            </w:pPr>
            <w:r>
              <w:rPr>
                <w:b w:val="0"/>
                <w:i w:val="0"/>
                <w:sz w:val="20"/>
              </w:rPr>
              <w:t>ASML</w:t>
            </w:r>
          </w:p>
        </w:tc>
      </w:tr>
      <w:tr>
        <w:tc>
          <w:tcPr>
            <w:tcW w:type="dxa" w:w="3137"/>
          </w:tcPr>
          <w:p>
            <w:pPr>
              <w:spacing w:after="80" w:before="80" w:line="280" w:lineRule="exact"/>
            </w:pPr>
            <w:r>
              <w:rPr>
                <w:b w:val="0"/>
                <w:i w:val="0"/>
                <w:sz w:val="20"/>
              </w:rPr>
              <w:t>刻蚀</w:t>
            </w:r>
          </w:p>
        </w:tc>
        <w:tc>
          <w:tcPr>
            <w:tcW w:type="dxa" w:w="3137"/>
          </w:tcPr>
          <w:p>
            <w:pPr>
              <w:spacing w:after="80" w:before="80" w:line="280" w:lineRule="exact"/>
            </w:pPr>
            <w:r>
              <w:rPr>
                <w:b w:val="0"/>
                <w:i w:val="0"/>
                <w:sz w:val="20"/>
              </w:rPr>
              <w:t>把不需要的材料挖掉</w:t>
            </w:r>
          </w:p>
        </w:tc>
        <w:tc>
          <w:tcPr>
            <w:tcW w:type="dxa" w:w="3137"/>
          </w:tcPr>
          <w:p>
            <w:pPr>
              <w:spacing w:after="80" w:before="80" w:line="280" w:lineRule="exact"/>
            </w:pPr>
            <w:r>
              <w:rPr>
                <w:b w:val="0"/>
                <w:i w:val="0"/>
                <w:sz w:val="20"/>
              </w:rPr>
              <w:t>LRCX、AMAT</w:t>
            </w:r>
          </w:p>
        </w:tc>
      </w:tr>
      <w:tr>
        <w:tc>
          <w:tcPr>
            <w:tcW w:type="dxa" w:w="3137"/>
          </w:tcPr>
          <w:p>
            <w:pPr>
              <w:spacing w:after="80" w:before="80" w:line="280" w:lineRule="exact"/>
            </w:pPr>
            <w:r>
              <w:rPr>
                <w:b w:val="0"/>
                <w:i w:val="0"/>
                <w:sz w:val="20"/>
              </w:rPr>
              <w:t>离子注入、热处理</w:t>
            </w:r>
          </w:p>
        </w:tc>
        <w:tc>
          <w:tcPr>
            <w:tcW w:type="dxa" w:w="3137"/>
          </w:tcPr>
          <w:p>
            <w:pPr>
              <w:spacing w:after="80" w:before="80" w:line="280" w:lineRule="exact"/>
            </w:pPr>
            <w:r>
              <w:rPr>
                <w:b w:val="0"/>
                <w:i w:val="0"/>
                <w:sz w:val="20"/>
              </w:rPr>
              <w:t>改变硅的电学性质</w:t>
            </w:r>
          </w:p>
        </w:tc>
        <w:tc>
          <w:tcPr>
            <w:tcW w:type="dxa" w:w="3137"/>
          </w:tcPr>
          <w:p>
            <w:pPr>
              <w:spacing w:after="80" w:before="80" w:line="280" w:lineRule="exact"/>
            </w:pPr>
            <w:r>
              <w:rPr>
                <w:b w:val="0"/>
                <w:i w:val="0"/>
                <w:sz w:val="20"/>
              </w:rPr>
              <w:t>AMAT</w:t>
            </w:r>
          </w:p>
        </w:tc>
      </w:tr>
      <w:tr>
        <w:tc>
          <w:tcPr>
            <w:tcW w:type="dxa" w:w="3137"/>
          </w:tcPr>
          <w:p>
            <w:pPr>
              <w:spacing w:after="80" w:before="80" w:line="280" w:lineRule="exact"/>
            </w:pPr>
            <w:r>
              <w:rPr>
                <w:b w:val="0"/>
                <w:i w:val="0"/>
                <w:sz w:val="20"/>
              </w:rPr>
              <w:t>CMP抛光</w:t>
            </w:r>
          </w:p>
        </w:tc>
        <w:tc>
          <w:tcPr>
            <w:tcW w:type="dxa" w:w="3137"/>
          </w:tcPr>
          <w:p>
            <w:pPr>
              <w:spacing w:after="80" w:before="80" w:line="280" w:lineRule="exact"/>
            </w:pPr>
            <w:r>
              <w:rPr>
                <w:b w:val="0"/>
                <w:i w:val="0"/>
                <w:sz w:val="20"/>
              </w:rPr>
              <w:t>把晶圆表面磨平</w:t>
            </w:r>
          </w:p>
        </w:tc>
        <w:tc>
          <w:tcPr>
            <w:tcW w:type="dxa" w:w="3137"/>
          </w:tcPr>
          <w:p>
            <w:pPr>
              <w:spacing w:after="80" w:before="80" w:line="280" w:lineRule="exact"/>
            </w:pPr>
            <w:r>
              <w:rPr>
                <w:b w:val="0"/>
                <w:i w:val="0"/>
                <w:sz w:val="20"/>
              </w:rPr>
              <w:t>AMAT</w:t>
            </w:r>
          </w:p>
        </w:tc>
      </w:tr>
      <w:tr>
        <w:tc>
          <w:tcPr>
            <w:tcW w:type="dxa" w:w="3137"/>
          </w:tcPr>
          <w:p>
            <w:pPr>
              <w:spacing w:after="80" w:before="80" w:line="280" w:lineRule="exact"/>
            </w:pPr>
            <w:r>
              <w:rPr>
                <w:b w:val="0"/>
                <w:i w:val="0"/>
                <w:sz w:val="20"/>
              </w:rPr>
              <w:t>清洗</w:t>
            </w:r>
          </w:p>
        </w:tc>
        <w:tc>
          <w:tcPr>
            <w:tcW w:type="dxa" w:w="3137"/>
          </w:tcPr>
          <w:p>
            <w:pPr>
              <w:spacing w:after="80" w:before="80" w:line="280" w:lineRule="exact"/>
            </w:pPr>
            <w:r>
              <w:rPr>
                <w:b w:val="0"/>
                <w:i w:val="0"/>
                <w:sz w:val="20"/>
              </w:rPr>
              <w:t>去除颗粒、残胶和污染物</w:t>
            </w:r>
          </w:p>
        </w:tc>
        <w:tc>
          <w:tcPr>
            <w:tcW w:type="dxa" w:w="3137"/>
          </w:tcPr>
          <w:p>
            <w:pPr>
              <w:spacing w:after="80" w:before="80" w:line="280" w:lineRule="exact"/>
            </w:pPr>
            <w:r>
              <w:rPr>
                <w:b w:val="0"/>
                <w:i w:val="0"/>
                <w:sz w:val="20"/>
              </w:rPr>
              <w:t>LRCX、AMAT</w:t>
            </w:r>
          </w:p>
        </w:tc>
      </w:tr>
      <w:tr>
        <w:tc>
          <w:tcPr>
            <w:tcW w:type="dxa" w:w="3137"/>
          </w:tcPr>
          <w:p>
            <w:pPr>
              <w:spacing w:after="80" w:before="80" w:line="280" w:lineRule="exact"/>
            </w:pPr>
            <w:r>
              <w:rPr>
                <w:b w:val="0"/>
                <w:i w:val="0"/>
                <w:sz w:val="20"/>
              </w:rPr>
              <w:t>缺陷检测、量测</w:t>
            </w:r>
          </w:p>
        </w:tc>
        <w:tc>
          <w:tcPr>
            <w:tcW w:type="dxa" w:w="3137"/>
          </w:tcPr>
          <w:p>
            <w:pPr>
              <w:spacing w:after="80" w:before="80" w:line="280" w:lineRule="exact"/>
            </w:pPr>
            <w:r>
              <w:rPr>
                <w:b w:val="0"/>
                <w:i w:val="0"/>
                <w:sz w:val="20"/>
              </w:rPr>
              <w:t>检查有没有脏点、偏移和尺寸错误</w:t>
            </w:r>
          </w:p>
        </w:tc>
        <w:tc>
          <w:tcPr>
            <w:tcW w:type="dxa" w:w="3137"/>
          </w:tcPr>
          <w:p>
            <w:pPr>
              <w:spacing w:after="80" w:before="80" w:line="280" w:lineRule="exact"/>
            </w:pPr>
            <w:r>
              <w:rPr>
                <w:b w:val="0"/>
                <w:i w:val="0"/>
                <w:sz w:val="20"/>
              </w:rPr>
              <w:t>KLAC</w:t>
            </w:r>
          </w:p>
        </w:tc>
      </w:tr>
      <w:tr>
        <w:tc>
          <w:tcPr>
            <w:tcW w:type="dxa" w:w="3137"/>
          </w:tcPr>
          <w:p>
            <w:pPr>
              <w:spacing w:after="80" w:before="80" w:line="280" w:lineRule="exact"/>
            </w:pPr>
            <w:r>
              <w:rPr>
                <w:b w:val="0"/>
                <w:i w:val="0"/>
                <w:sz w:val="20"/>
              </w:rPr>
              <w:t>先进封装</w:t>
            </w:r>
          </w:p>
        </w:tc>
        <w:tc>
          <w:tcPr>
            <w:tcW w:type="dxa" w:w="3137"/>
          </w:tcPr>
          <w:p>
            <w:pPr>
              <w:spacing w:after="80" w:before="80" w:line="280" w:lineRule="exact"/>
            </w:pPr>
            <w:r>
              <w:rPr>
                <w:b w:val="0"/>
                <w:i w:val="0"/>
                <w:sz w:val="20"/>
              </w:rPr>
              <w:t>将GPU、HBM、Chiplet连接起来</w:t>
            </w:r>
          </w:p>
        </w:tc>
        <w:tc>
          <w:tcPr>
            <w:tcW w:type="dxa" w:w="3137"/>
          </w:tcPr>
          <w:p>
            <w:pPr>
              <w:spacing w:after="80" w:before="80" w:line="280" w:lineRule="exact"/>
            </w:pPr>
            <w:r>
              <w:rPr>
                <w:b w:val="0"/>
                <w:i w:val="0"/>
                <w:sz w:val="20"/>
              </w:rPr>
              <w:t>AMAT、LRCX、KLAC等</w:t>
            </w:r>
          </w:p>
        </w:tc>
      </w:tr>
    </w:tbl>
    <w:p>
      <w:pPr>
        <w:spacing w:after="60"/>
      </w:pPr>
    </w:p>
    <w:p>
      <w:r>
        <w:rPr>
          <w:b w:val="0"/>
          <w:i w:val="0"/>
        </w:rPr>
        <w:t>关键点是：</w:t>
      </w:r>
      <w:r>
        <w:rPr>
          <w:b/>
          <w:i w:val="0"/>
        </w:rPr>
        <w:t>ASML画图，AMAT铺材料和改材料，LRCX挖结构，KLAC找错误。</w:t>
      </w:r>
    </w:p>
    <w:p>
      <w:pPr>
        <w:pStyle w:val="Heading1"/>
      </w:pPr>
      <w:r>
        <w:rPr>
          <w:b w:val="0"/>
          <w:i w:val="0"/>
        </w:rPr>
        <w:t>二、ASML：先进芯片的"印刷机"，四家公司中垄断性最强</w:t>
      </w:r>
    </w:p>
    <w:p>
      <w:pPr>
        <w:pStyle w:val="Heading2"/>
      </w:pPr>
      <w:r>
        <w:rPr>
          <w:b w:val="0"/>
          <w:i w:val="0"/>
        </w:rPr>
        <w:t>1. ASML到底做什么</w:t>
      </w:r>
    </w:p>
    <w:p>
      <w:r>
        <w:rPr>
          <w:b w:val="0"/>
          <w:i w:val="0"/>
        </w:rPr>
        <w:t>光刻的本质，是把芯片设计中的电路图形通过光学系统投影到涂有光刻胶的晶圆上。</w:t>
      </w:r>
    </w:p>
    <w:p>
      <w:r>
        <w:rPr>
          <w:b w:val="0"/>
          <w:i w:val="0"/>
        </w:rPr>
        <w:t>可以把它理解成：芯片设计图是底片，光刻机是超高精度投影仪，晶圆是相纸。</w:t>
      </w:r>
    </w:p>
    <w:p>
      <w:r>
        <w:rPr>
          <w:b w:val="0"/>
          <w:i w:val="0"/>
        </w:rPr>
        <w:t>ASML目前是全球唯一能够量产EUV极紫外光刻机的公司。EUV主要用于最先进芯片中尺寸最小、最关键的图形层；DUV则仍广泛用于其他大量非关键层和成熟制程。ASML在DUV领域仍面临尼康和佳能竞争，但EUV没有同等级量产竞争者。</w:t>
      </w:r>
      <w:hyperlink r:id="rId12">
        <w:r>
          <w:rPr>
            <w:color w:val="285B49"/>
            <w:u w:val="single"/>
          </w:rPr>
          <w:t>(美国证券交易委员会)</w:t>
        </w:r>
      </w:hyperlink>
    </w:p>
    <w:p>
      <w:pPr>
        <w:pStyle w:val="Heading2"/>
      </w:pPr>
      <w:r>
        <w:rPr>
          <w:b w:val="0"/>
          <w:i w:val="0"/>
        </w:rPr>
        <w:t>2. ASML和GPU、CPU、存储的关系</w:t>
      </w:r>
    </w:p>
    <w:p>
      <w:r>
        <w:rPr>
          <w:b/>
          <w:i w:val="0"/>
        </w:rPr>
        <w:t>GPU和CPU：</w:t>
      </w:r>
      <w:r>
        <w:rPr>
          <w:b w:val="0"/>
          <w:i w:val="0"/>
        </w:rPr>
        <w:t>先进GPU、CPU需要非常高的晶体管密度，必须使用EUV。ASML是先进逻辑制程最直接的设备受益者之一。</w:t>
      </w:r>
    </w:p>
    <w:p>
      <w:r>
        <w:rPr>
          <w:b/>
          <w:i w:val="0"/>
        </w:rPr>
        <w:t>DRAM和HBM：</w:t>
      </w:r>
      <w:r>
        <w:rPr>
          <w:b w:val="0"/>
          <w:i w:val="0"/>
        </w:rPr>
        <w:t>HBM的底层仍然是DRAM晶圆。随着DRAM单元继续微缩，先进DRAM也在增加EUV应用。但HBM扩产对ASML的影响通常不像对LRCX、AMAT那样体现出特别强的"立体结构加工弹性"。</w:t>
      </w:r>
    </w:p>
    <w:p>
      <w:r>
        <w:rPr>
          <w:b/>
          <w:i w:val="0"/>
        </w:rPr>
        <w:t>NAND：</w:t>
      </w:r>
      <w:r>
        <w:rPr>
          <w:b w:val="0"/>
          <w:i w:val="0"/>
        </w:rPr>
        <w:t>3D NAND的核心升级方式是不断增加堆叠层数，对刻蚀和沉积的增量通常比对最先进光刻设备更明显。</w:t>
      </w:r>
    </w:p>
    <w:p>
      <w:pPr>
        <w:pStyle w:val="Heading2"/>
      </w:pPr>
      <w:r>
        <w:rPr>
          <w:b w:val="0"/>
          <w:i w:val="0"/>
        </w:rPr>
        <w:t>3. ASML怎么赚钱</w:t>
      </w:r>
    </w:p>
    <w:p>
      <w:r>
        <w:rPr>
          <w:b w:val="0"/>
          <w:i w:val="0"/>
        </w:rPr>
        <w:t>主要有两类收入：销售新光刻机；对已经装机的设备提供维护、零部件、软件和生产率升级。</w:t>
      </w:r>
    </w:p>
    <w:p>
      <w:r>
        <w:rPr>
          <w:b w:val="0"/>
          <w:i w:val="0"/>
        </w:rPr>
        <w:t>2025年ASML收入约327亿欧元，其中约82亿欧元来自服务及现场升级，占比约25%。</w:t>
      </w:r>
      <w:hyperlink r:id="rId12">
        <w:r>
          <w:rPr>
            <w:color w:val="285B49"/>
            <w:u w:val="single"/>
          </w:rPr>
          <w:t>(美国证券交易委员会)</w:t>
        </w:r>
      </w:hyperlink>
    </w:p>
    <w:p>
      <w:pPr>
        <w:pStyle w:val="Heading2"/>
      </w:pPr>
      <w:r>
        <w:rPr>
          <w:b w:val="0"/>
          <w:i w:val="0"/>
        </w:rPr>
        <w:t>4. 毛利率为什么没有高到70%</w:t>
      </w:r>
    </w:p>
    <w:p>
      <w:r>
        <w:rPr>
          <w:b w:val="0"/>
          <w:i w:val="0"/>
        </w:rPr>
        <w:t>截至2026年第一季度，ASML毛利率为53.0%，2026年全年毛利率预期为51%—53%。</w:t>
      </w:r>
      <w:hyperlink r:id="rId13">
        <w:r>
          <w:rPr>
            <w:color w:val="285B49"/>
            <w:u w:val="single"/>
          </w:rPr>
          <w:t>(ASML)</w:t>
        </w:r>
      </w:hyperlink>
    </w:p>
    <w:p>
      <w:r>
        <w:rPr>
          <w:b w:val="0"/>
          <w:i w:val="0"/>
        </w:rPr>
        <w:t>虽然EUV是垄断产品，但设备本身的硬件成本极高：超精密光学系统、激光光源、真空系统、晶圆工作台、复杂供应链和大量定制零部件，安装和验收周期很长。新一代High-NA EUV早期出货还可能稀释毛利率。</w:t>
      </w:r>
    </w:p>
    <w:p>
      <w:pPr>
        <w:pStyle w:val="Heading2"/>
      </w:pPr>
      <w:r>
        <w:rPr>
          <w:b w:val="0"/>
          <w:i w:val="0"/>
        </w:rPr>
        <w:t>5. ASML的投资属性</w:t>
      </w:r>
    </w:p>
    <w:p>
      <w:r>
        <w:rPr>
          <w:b w:val="0"/>
          <w:i w:val="0"/>
        </w:rPr>
        <w:t>更像是先进制程垄断平台＋长期装机服务公司。优点是技术不可替代、订单可见度高、客户转换几乎不可能。</w:t>
      </w:r>
    </w:p>
    <w:p>
      <w:pPr>
        <w:pStyle w:val="Heading1"/>
      </w:pPr>
      <w:r>
        <w:rPr>
          <w:b w:val="0"/>
          <w:i w:val="0"/>
        </w:rPr>
        <w:t>三、AMAT：半导体设备"综合商店"，产品覆盖最广</w:t>
      </w:r>
    </w:p>
    <w:p>
      <w:pPr>
        <w:pStyle w:val="Heading2"/>
      </w:pPr>
      <w:r>
        <w:rPr>
          <w:b w:val="0"/>
          <w:i w:val="0"/>
        </w:rPr>
        <w:t>1. AMAT到底做什么</w:t>
      </w:r>
    </w:p>
    <w:p>
      <w:r>
        <w:rPr>
          <w:b w:val="0"/>
          <w:i w:val="0"/>
        </w:rPr>
        <w:t>Applied Materials（应用材料）在产品组合方面覆盖面最广：PVD、CVD、ALD、外延、离子注入、热处理、CMP、部分刻蚀和检测、先进封装设备。</w:t>
      </w:r>
    </w:p>
    <w:p>
      <w:r>
        <w:rPr>
          <w:b w:val="0"/>
          <w:i w:val="0"/>
        </w:rPr>
        <w:t>芯片需要几十种不同材料，AMAT负责把这些材料以正确厚度、正确成分和正确位置放到晶圆上，并进行加工。</w:t>
      </w:r>
    </w:p>
    <w:p>
      <w:pPr>
        <w:pStyle w:val="Heading2"/>
      </w:pPr>
      <w:r>
        <w:rPr>
          <w:b w:val="0"/>
          <w:i w:val="0"/>
        </w:rPr>
        <w:t>2. AMAT和GPU、CPU的关系</w:t>
      </w:r>
    </w:p>
    <w:p>
      <w:r>
        <w:rPr>
          <w:b w:val="0"/>
          <w:i w:val="0"/>
        </w:rPr>
        <w:t>先进GPU和CPU从FinFET转向GAA后，材料结构明显复杂化，带来更多精确沉积、新材料、选择性去除、薄膜控制、CMP和平坦化。AMAT的逻辑并不仅是"晶圆厂多买几台设备"，还包括每片晶圆需要经历更多材料加工步骤，单片晶圆对应的设备价值量上升。</w:t>
      </w:r>
    </w:p>
    <w:p>
      <w:pPr>
        <w:pStyle w:val="Heading2"/>
      </w:pPr>
      <w:r>
        <w:rPr>
          <w:b w:val="0"/>
          <w:i w:val="0"/>
        </w:rPr>
        <w:t>3. AMAT和存储芯片的关系</w:t>
      </w:r>
    </w:p>
    <w:p>
      <w:r>
        <w:rPr>
          <w:b/>
          <w:i w:val="0"/>
        </w:rPr>
        <w:t>DRAM和HBM：</w:t>
      </w:r>
      <w:r>
        <w:rPr>
          <w:b w:val="0"/>
          <w:i w:val="0"/>
        </w:rPr>
        <w:t>DRAM需要制造复杂电容结构；HBM增加了TSV、晶圆减薄、铜互连、堆叠和键合。AMAT有较广的产品覆盖。</w:t>
      </w:r>
    </w:p>
    <w:p>
      <w:r>
        <w:rPr>
          <w:b/>
          <w:i w:val="0"/>
        </w:rPr>
        <w:t>3D NAND：</w:t>
      </w:r>
      <w:r>
        <w:rPr>
          <w:b w:val="0"/>
          <w:i w:val="0"/>
        </w:rPr>
        <w:t>NAND层数增加需要大量交替薄膜沉积。AMAT和LRCX都会受益。</w:t>
      </w:r>
    </w:p>
    <w:p>
      <w:pPr>
        <w:pStyle w:val="Heading2"/>
      </w:pPr>
      <w:r>
        <w:rPr>
          <w:b w:val="0"/>
          <w:i w:val="0"/>
        </w:rPr>
        <w:t>4. AMAT怎么赚钱</w:t>
      </w:r>
    </w:p>
    <w:p>
      <w:r>
        <w:rPr>
          <w:b w:val="0"/>
          <w:i w:val="0"/>
        </w:rPr>
        <w:t>2025财年，半导体系统收入约208亿美元（73%），全球服务收入约64亿美元（23%）。半导体系统收入中，代工/逻辑占67%，DRAM占26%，NAND占7%。</w:t>
      </w:r>
      <w:hyperlink r:id="rId14">
        <w:r>
          <w:rPr>
            <w:color w:val="285B49"/>
            <w:u w:val="single"/>
          </w:rPr>
          <w:t>(美国证券交易委员会)</w:t>
        </w:r>
      </w:hyperlink>
    </w:p>
    <w:p>
      <w:r>
        <w:rPr>
          <w:b w:val="0"/>
          <w:i w:val="0"/>
        </w:rPr>
        <w:t>AMAT的业务比LRCX更分散：先进逻辑、成熟制程、DRAM、NAND、先进封装，加上庞大服务收入。</w:t>
      </w:r>
    </w:p>
    <w:p>
      <w:pPr>
        <w:pStyle w:val="Heading2"/>
      </w:pPr>
      <w:r>
        <w:rPr>
          <w:b w:val="0"/>
          <w:i w:val="0"/>
        </w:rPr>
        <w:t>5. 毛利率</w:t>
      </w:r>
    </w:p>
    <w:p>
      <w:r>
        <w:rPr>
          <w:b w:val="0"/>
          <w:i w:val="0"/>
        </w:rPr>
        <w:t>AMAT 2026财年第二季度整体毛利率为49.9%。半导体系统毛利率54.2%，但服务毛利率约33.4%。</w:t>
      </w:r>
      <w:hyperlink r:id="rId15">
        <w:r>
          <w:rPr>
            <w:color w:val="285B49"/>
            <w:u w:val="single"/>
          </w:rPr>
          <w:t>(Applied Materials)</w:t>
        </w:r>
      </w:hyperlink>
    </w:p>
    <w:p>
      <w:r>
        <w:rPr>
          <w:b w:val="0"/>
          <w:i w:val="0"/>
        </w:rPr>
        <w:t>服务收入不一定天然比设备毛利率高——包含零件、现场工程师、老设备和维修物流，非纯软件式高毛利。</w:t>
      </w:r>
    </w:p>
    <w:p>
      <w:pPr>
        <w:pStyle w:val="Heading2"/>
      </w:pPr>
      <w:r>
        <w:rPr>
          <w:b w:val="0"/>
          <w:i w:val="0"/>
        </w:rPr>
        <w:t>6. AMAT的投资属性</w:t>
      </w:r>
    </w:p>
    <w:p>
      <w:r>
        <w:rPr>
          <w:b w:val="0"/>
          <w:i w:val="0"/>
        </w:rPr>
        <w:t>更像是半导体资本开支的宽基ETF，兼具GAA、先进封装和新材料的结构性阿尔法。优势是产品覆盖广、客户和芯片类型分散；弱点是缺少像EUV那样的绝对单点垄断。</w:t>
      </w:r>
    </w:p>
    <w:p>
      <w:pPr>
        <w:pStyle w:val="Heading1"/>
      </w:pPr>
      <w:r>
        <w:rPr>
          <w:b w:val="0"/>
          <w:i w:val="0"/>
        </w:rPr>
        <w:t>四、LRCX：刻蚀和沉积龙头，对存储、HBM和3D结构弹性最大</w:t>
      </w:r>
    </w:p>
    <w:p>
      <w:pPr>
        <w:pStyle w:val="Heading2"/>
      </w:pPr>
      <w:r>
        <w:rPr>
          <w:b w:val="0"/>
          <w:i w:val="0"/>
        </w:rPr>
        <w:t>1. LRCX到底做什么</w:t>
      </w:r>
    </w:p>
    <w:p>
      <w:r>
        <w:rPr>
          <w:b w:val="0"/>
          <w:i w:val="0"/>
        </w:rPr>
        <w:t>Lam Research的核心强项是等离子刻蚀、薄膜沉积、光刻胶去除、晶圆清洗、部分量测、先进封装加工。</w:t>
      </w:r>
    </w:p>
    <w:p>
      <w:r>
        <w:rPr>
          <w:b w:val="0"/>
          <w:i w:val="0"/>
        </w:rPr>
        <w:t>刻蚀需要做到该挖的地方挖掉、不该挖的地方完全不动、孔要深、孔壁要直、全晶圆一致。</w:t>
      </w:r>
      <w:hyperlink r:id="rId16">
        <w:r>
          <w:rPr>
            <w:color w:val="285B49"/>
            <w:u w:val="single"/>
          </w:rPr>
          <w:t>(Lam Research)</w:t>
        </w:r>
      </w:hyperlink>
    </w:p>
    <w:p>
      <w:pPr>
        <w:pStyle w:val="Heading2"/>
      </w:pPr>
      <w:r>
        <w:rPr>
          <w:b w:val="0"/>
          <w:i w:val="0"/>
        </w:rPr>
        <w:t>2. 为什么LRCX和3D NAND关系最密切</w:t>
      </w:r>
    </w:p>
    <w:p>
      <w:r>
        <w:rPr>
          <w:b w:val="0"/>
          <w:i w:val="0"/>
        </w:rPr>
        <w:t>3D NAND层数从64层向更高层发展时，需要先沉积大量交替材料，再从顶部向下刻出极深的孔。层数越高，高深宽比刻蚀难度加速增加。NAND资本开支复苏时LRCX通常具有较高业绩弹性。</w:t>
      </w:r>
    </w:p>
    <w:p>
      <w:pPr>
        <w:pStyle w:val="Heading2"/>
      </w:pPr>
      <w:r>
        <w:rPr>
          <w:b w:val="0"/>
          <w:i w:val="0"/>
        </w:rPr>
        <w:t>3. 为什么HBM也利好LRCX</w:t>
      </w:r>
    </w:p>
    <w:p>
      <w:r>
        <w:rPr>
          <w:b w:val="0"/>
          <w:i w:val="0"/>
        </w:rPr>
        <w:t>HBM涉及TSV深孔刻蚀、孔内薄膜沉积、铜沉积、晶圆清洗、晶圆减薄、键合前处理和边缘处理。Lam的先进封装设备覆盖这些环节。</w:t>
      </w:r>
      <w:hyperlink r:id="rId17">
        <w:r>
          <w:rPr>
            <w:color w:val="285B49"/>
            <w:u w:val="single"/>
          </w:rPr>
          <w:t>(Lam Research Newsroom)</w:t>
        </w:r>
      </w:hyperlink>
    </w:p>
    <w:p>
      <w:pPr>
        <w:pStyle w:val="Heading2"/>
      </w:pPr>
      <w:r>
        <w:rPr>
          <w:b w:val="0"/>
          <w:i w:val="0"/>
        </w:rPr>
        <w:t>4. LRCX和先进逻辑的关系</w:t>
      </w:r>
    </w:p>
    <w:p>
      <w:r>
        <w:rPr>
          <w:b w:val="0"/>
          <w:i w:val="0"/>
        </w:rPr>
        <w:t>先进逻辑转向GAA、背面供电、更复杂金属互连、3D晶体管和Chiplet封装，同样需要更多原子级沉积和刻蚀。Lam认为，NAND、DRAM、逻辑和封装全面转向3D结构正在提高沉积和刻蚀的工艺强度。</w:t>
      </w:r>
      <w:hyperlink r:id="rId18">
        <w:r>
          <w:rPr>
            <w:color w:val="285B49"/>
            <w:u w:val="single"/>
          </w:rPr>
          <w:t>(Lam Research Newsroom)</w:t>
        </w:r>
      </w:hyperlink>
    </w:p>
    <w:p>
      <w:pPr>
        <w:pStyle w:val="Heading2"/>
      </w:pPr>
      <w:r>
        <w:rPr>
          <w:b w:val="0"/>
          <w:i w:val="0"/>
        </w:rPr>
        <w:t>5. 怎么赚钱和毛利率</w:t>
      </w:r>
    </w:p>
    <w:p>
      <w:r>
        <w:rPr>
          <w:b w:val="0"/>
          <w:i w:val="0"/>
        </w:rPr>
        <w:t>近几个季度客户支持相关收入约占总收入三分之一。2026年3月季度收入58.4亿美元，毛利率49.8%，营业利润率35.0%。</w:t>
      </w:r>
      <w:hyperlink r:id="rId19">
        <w:r>
          <w:rPr>
            <w:color w:val="285B49"/>
            <w:u w:val="single"/>
          </w:rPr>
          <w:t>(Lam Research Newsroom)</w:t>
        </w:r>
      </w:hyperlink>
    </w:p>
    <w:p>
      <w:pPr>
        <w:pStyle w:val="Heading2"/>
      </w:pPr>
      <w:r>
        <w:rPr>
          <w:b w:val="0"/>
          <w:i w:val="0"/>
        </w:rPr>
        <w:t>6. LRCX的投资属性</w:t>
      </w:r>
    </w:p>
    <w:p>
      <w:r>
        <w:rPr>
          <w:b w:val="0"/>
          <w:i w:val="0"/>
        </w:rPr>
        <w:t>存储资本开支高贝塔＋3D器件结构升级受益者。优势是刻蚀和沉积强技术地位、NAND层数增加直接提高设备强度、HBM和TSV带来新增量。风险是存储周期敏感、中国收入占比较高。</w:t>
      </w:r>
    </w:p>
    <w:p>
      <w:pPr>
        <w:pStyle w:val="Heading1"/>
      </w:pPr>
      <w:r>
        <w:rPr>
          <w:b w:val="0"/>
          <w:i w:val="0"/>
        </w:rPr>
        <w:t>五、KLAC：不是制造结构，而是保证结构"做对了"</w:t>
      </w:r>
    </w:p>
    <w:p>
      <w:pPr>
        <w:pStyle w:val="Heading2"/>
      </w:pPr>
      <w:r>
        <w:rPr>
          <w:b w:val="0"/>
          <w:i w:val="0"/>
        </w:rPr>
        <w:t>1. KLAC到底做什么</w:t>
      </w:r>
    </w:p>
    <w:p>
      <w:r>
        <w:rPr>
          <w:b w:val="0"/>
          <w:i w:val="0"/>
        </w:rPr>
        <w:t>KLA的核心业务是过程控制：晶圆缺陷检测、光学检测、电子束检测、线宽和膜厚量测、套刻精度测量、光罩检测、数据分析和良率管理。</w:t>
      </w:r>
    </w:p>
    <w:p>
      <w:r>
        <w:rPr>
          <w:b w:val="0"/>
          <w:i w:val="0"/>
        </w:rPr>
        <w:t>可以把KLAC理解成晶圆厂的显微镜、CT机、质量管理系统和数据分析平台。</w:t>
      </w:r>
    </w:p>
    <w:p>
      <w:r>
        <w:rPr>
          <w:b w:val="0"/>
          <w:i w:val="0"/>
        </w:rPr>
        <w:t>KLA设备覆盖先进逻辑、DRAM、3D NAND、功率芯片、MEMS和成熟制程等几乎所有芯片类型。</w:t>
      </w:r>
      <w:hyperlink r:id="rId20">
        <w:r>
          <w:rPr>
            <w:color w:val="285B49"/>
            <w:u w:val="single"/>
          </w:rPr>
          <w:t>(美国证券交易委员会)</w:t>
        </w:r>
      </w:hyperlink>
    </w:p>
    <w:p>
      <w:pPr>
        <w:pStyle w:val="Heading2"/>
      </w:pPr>
      <w:r>
        <w:rPr>
          <w:b w:val="0"/>
          <w:i w:val="0"/>
        </w:rPr>
        <w:t>2. 为什么先进制程越难，KLAC价值越高</w:t>
      </w:r>
    </w:p>
    <w:p>
      <w:r>
        <w:rPr>
          <w:b w:val="0"/>
          <w:i w:val="0"/>
        </w:rPr>
        <w:t>越先进的芯片，单片晶圆价值越高，缺陷成本越大，晶圆厂越不敢少做检测。通过更好的检测和工艺控制提高良率，是晶圆厂购买KLAC设备的核心原因。</w:t>
      </w:r>
    </w:p>
    <w:p>
      <w:pPr>
        <w:pStyle w:val="Heading2"/>
      </w:pPr>
      <w:r>
        <w:rPr>
          <w:b w:val="0"/>
          <w:i w:val="0"/>
        </w:rPr>
        <w:t>3. 为什么KLAC毛利率最高</w:t>
      </w:r>
    </w:p>
    <w:p>
      <w:r>
        <w:rPr>
          <w:b w:val="0"/>
          <w:i w:val="0"/>
        </w:rPr>
        <w:t>KLA 2025财年毛利率为60.9%，2026财年第四季度指引约60.7%。</w:t>
      </w:r>
      <w:hyperlink r:id="rId20">
        <w:r>
          <w:rPr>
            <w:color w:val="285B49"/>
            <w:u w:val="single"/>
          </w:rPr>
          <w:t>(美国证券交易委员会)</w:t>
        </w:r>
      </w:hyperlink>
    </w:p>
    <w:p>
      <w:r>
        <w:rPr>
          <w:b w:val="0"/>
          <w:i w:val="0"/>
        </w:rPr>
        <w:t>核心原因：一个检测设备可以避免大量高价值晶圆报废；检测数据和缺陷数据库具有积累效应；客户替换设备会破坏原有工艺数据体系；过程控制市场集中度高；产品中软件和数据分析价值较高。</w:t>
      </w:r>
    </w:p>
    <w:p>
      <w:pPr>
        <w:pStyle w:val="Heading2"/>
      </w:pPr>
      <w:r>
        <w:rPr>
          <w:b w:val="0"/>
          <w:i w:val="0"/>
        </w:rPr>
        <w:t>4. KLAC的周期属性</w:t>
      </w:r>
    </w:p>
    <w:p>
      <w:r>
        <w:rPr>
          <w:b w:val="0"/>
          <w:i w:val="0"/>
        </w:rPr>
        <w:t>KLAC并非没有周期，但相对特殊。新制程研发时就需要检测设备；量产爬坡时可能继续增加。KLAC同时受益于研发支出、新节点导入、量产爬坡、先进封装和存量设备服务，波动往往比纯产能扩张型设备更可控。</w:t>
      </w:r>
    </w:p>
    <w:p>
      <w:pPr>
        <w:pStyle w:val="Heading1"/>
      </w:pPr>
      <w:r>
        <w:rPr>
          <w:b w:val="0"/>
          <w:i w:val="0"/>
        </w:rPr>
        <w:t>六、四家公司和不同芯片的关系</w:t>
      </w:r>
    </w:p>
    <w:tbl>
      <w:tblPr>
        <w:tblStyle w:val="TableGrid"/>
        <w:tblW w:type="auto" w:w="0"/>
        <w:tblLayout w:type="fixed"/>
        <w:tblLook w:firstColumn="1" w:firstRow="1" w:lastColumn="0" w:lastRow="0" w:noHBand="0" w:noVBand="1" w:val="04A0"/>
      </w:tblPr>
      <w:tblGrid>
        <w:gridCol w:w="1882"/>
        <w:gridCol w:w="1882"/>
        <w:gridCol w:w="1882"/>
        <w:gridCol w:w="1882"/>
        <w:gridCol w:w="1882"/>
      </w:tblGrid>
      <w:tr>
        <w:trPr>
          <w:tblHeader/>
        </w:trPr>
        <w:tc>
          <w:tcPr>
            <w:tcW w:type="dxa" w:w="1882"/>
            <w:shd w:fill="E9EEE6"/>
          </w:tcPr>
          <w:p>
            <w:pPr>
              <w:spacing w:after="80" w:before="80" w:line="280" w:lineRule="exact"/>
            </w:pPr>
            <w:r>
              <w:rPr>
                <w:b/>
                <w:i w:val="0"/>
                <w:sz w:val="18"/>
              </w:rPr>
              <w:t>芯片类别</w:t>
            </w:r>
          </w:p>
        </w:tc>
        <w:tc>
          <w:tcPr>
            <w:tcW w:type="dxa" w:w="1882"/>
            <w:shd w:fill="E9EEE6"/>
          </w:tcPr>
          <w:p>
            <w:pPr>
              <w:spacing w:after="80" w:before="80" w:line="280" w:lineRule="exact"/>
            </w:pPr>
            <w:r>
              <w:rPr>
                <w:b/>
                <w:i w:val="0"/>
                <w:sz w:val="18"/>
              </w:rPr>
              <w:t>ASML</w:t>
            </w:r>
          </w:p>
        </w:tc>
        <w:tc>
          <w:tcPr>
            <w:tcW w:type="dxa" w:w="1882"/>
            <w:shd w:fill="E9EEE6"/>
          </w:tcPr>
          <w:p>
            <w:pPr>
              <w:spacing w:after="80" w:before="80" w:line="280" w:lineRule="exact"/>
            </w:pPr>
            <w:r>
              <w:rPr>
                <w:b/>
                <w:i w:val="0"/>
                <w:sz w:val="18"/>
              </w:rPr>
              <w:t>AMAT</w:t>
            </w:r>
          </w:p>
        </w:tc>
        <w:tc>
          <w:tcPr>
            <w:tcW w:type="dxa" w:w="1882"/>
            <w:shd w:fill="E9EEE6"/>
          </w:tcPr>
          <w:p>
            <w:pPr>
              <w:spacing w:after="80" w:before="80" w:line="280" w:lineRule="exact"/>
            </w:pPr>
            <w:r>
              <w:rPr>
                <w:b/>
                <w:i w:val="0"/>
                <w:sz w:val="18"/>
              </w:rPr>
              <w:t>LRCX</w:t>
            </w:r>
          </w:p>
        </w:tc>
        <w:tc>
          <w:tcPr>
            <w:tcW w:type="dxa" w:w="1882"/>
            <w:shd w:fill="E9EEE6"/>
          </w:tcPr>
          <w:p>
            <w:pPr>
              <w:spacing w:after="80" w:before="80" w:line="280" w:lineRule="exact"/>
            </w:pPr>
            <w:r>
              <w:rPr>
                <w:b/>
                <w:i w:val="0"/>
                <w:sz w:val="18"/>
              </w:rPr>
              <w:t>KLAC</w:t>
            </w:r>
          </w:p>
        </w:tc>
      </w:tr>
      <w:tr>
        <w:tc>
          <w:tcPr>
            <w:tcW w:type="dxa" w:w="1882"/>
          </w:tcPr>
          <w:p>
            <w:pPr>
              <w:spacing w:after="80" w:before="80" w:line="280" w:lineRule="exact"/>
            </w:pPr>
            <w:r>
              <w:rPr>
                <w:b w:val="0"/>
                <w:i w:val="0"/>
                <w:sz w:val="18"/>
              </w:rPr>
              <w:t>先进GPU</w:t>
            </w:r>
          </w:p>
        </w:tc>
        <w:tc>
          <w:tcPr>
            <w:tcW w:type="dxa" w:w="1882"/>
          </w:tcPr>
          <w:p>
            <w:pPr>
              <w:spacing w:after="80" w:before="80" w:line="280" w:lineRule="exact"/>
            </w:pPr>
            <w:r>
              <w:rPr>
                <w:b w:val="0"/>
                <w:i w:val="0"/>
                <w:sz w:val="18"/>
              </w:rPr>
              <w:t>关键层EUV光刻</w:t>
            </w:r>
          </w:p>
        </w:tc>
        <w:tc>
          <w:tcPr>
            <w:tcW w:type="dxa" w:w="1882"/>
          </w:tcPr>
          <w:p>
            <w:pPr>
              <w:spacing w:after="80" w:before="80" w:line="280" w:lineRule="exact"/>
            </w:pPr>
            <w:r>
              <w:rPr>
                <w:b w:val="0"/>
                <w:i w:val="0"/>
                <w:sz w:val="18"/>
              </w:rPr>
              <w:t>GAA、互连、CMP、材料工程</w:t>
            </w:r>
          </w:p>
        </w:tc>
        <w:tc>
          <w:tcPr>
            <w:tcW w:type="dxa" w:w="1882"/>
          </w:tcPr>
          <w:p>
            <w:pPr>
              <w:spacing w:after="80" w:before="80" w:line="280" w:lineRule="exact"/>
            </w:pPr>
            <w:r>
              <w:rPr>
                <w:b w:val="0"/>
                <w:i w:val="0"/>
                <w:sz w:val="18"/>
              </w:rPr>
              <w:t>刻蚀、沉积、背面供电、封装</w:t>
            </w:r>
          </w:p>
        </w:tc>
        <w:tc>
          <w:tcPr>
            <w:tcW w:type="dxa" w:w="1882"/>
          </w:tcPr>
          <w:p>
            <w:pPr>
              <w:spacing w:after="80" w:before="80" w:line="280" w:lineRule="exact"/>
            </w:pPr>
            <w:r>
              <w:rPr>
                <w:b w:val="0"/>
                <w:i w:val="0"/>
                <w:sz w:val="18"/>
              </w:rPr>
              <w:t>缺陷检测和良率控制</w:t>
            </w:r>
          </w:p>
        </w:tc>
      </w:tr>
      <w:tr>
        <w:tc>
          <w:tcPr>
            <w:tcW w:type="dxa" w:w="1882"/>
          </w:tcPr>
          <w:p>
            <w:pPr>
              <w:spacing w:after="80" w:before="80" w:line="280" w:lineRule="exact"/>
            </w:pPr>
            <w:r>
              <w:rPr>
                <w:b w:val="0"/>
                <w:i w:val="0"/>
                <w:sz w:val="18"/>
              </w:rPr>
              <w:t>先进CPU</w:t>
            </w:r>
          </w:p>
        </w:tc>
        <w:tc>
          <w:tcPr>
            <w:tcW w:type="dxa" w:w="1882"/>
          </w:tcPr>
          <w:p>
            <w:pPr>
              <w:spacing w:after="80" w:before="80" w:line="280" w:lineRule="exact"/>
            </w:pPr>
            <w:r>
              <w:rPr>
                <w:b w:val="0"/>
                <w:i w:val="0"/>
                <w:sz w:val="18"/>
              </w:rPr>
              <w:t>与GPU类似</w:t>
            </w:r>
          </w:p>
        </w:tc>
        <w:tc>
          <w:tcPr>
            <w:tcW w:type="dxa" w:w="1882"/>
          </w:tcPr>
          <w:p>
            <w:pPr>
              <w:spacing w:after="80" w:before="80" w:line="280" w:lineRule="exact"/>
            </w:pPr>
            <w:r>
              <w:rPr>
                <w:b w:val="0"/>
                <w:i w:val="0"/>
                <w:sz w:val="18"/>
              </w:rPr>
              <w:t>与GPU类似</w:t>
            </w:r>
          </w:p>
        </w:tc>
        <w:tc>
          <w:tcPr>
            <w:tcW w:type="dxa" w:w="1882"/>
          </w:tcPr>
          <w:p>
            <w:pPr>
              <w:spacing w:after="80" w:before="80" w:line="280" w:lineRule="exact"/>
            </w:pPr>
            <w:r>
              <w:rPr>
                <w:b w:val="0"/>
                <w:i w:val="0"/>
                <w:sz w:val="18"/>
              </w:rPr>
              <w:t>与GPU类似</w:t>
            </w:r>
          </w:p>
        </w:tc>
        <w:tc>
          <w:tcPr>
            <w:tcW w:type="dxa" w:w="1882"/>
          </w:tcPr>
          <w:p>
            <w:pPr>
              <w:spacing w:after="80" w:before="80" w:line="280" w:lineRule="exact"/>
            </w:pPr>
            <w:r>
              <w:rPr>
                <w:b w:val="0"/>
                <w:i w:val="0"/>
                <w:sz w:val="18"/>
              </w:rPr>
              <w:t>与GPU类似</w:t>
            </w:r>
          </w:p>
        </w:tc>
      </w:tr>
      <w:tr>
        <w:tc>
          <w:tcPr>
            <w:tcW w:type="dxa" w:w="1882"/>
          </w:tcPr>
          <w:p>
            <w:pPr>
              <w:spacing w:after="80" w:before="80" w:line="280" w:lineRule="exact"/>
            </w:pPr>
            <w:r>
              <w:rPr>
                <w:b w:val="0"/>
                <w:i w:val="0"/>
                <w:sz w:val="18"/>
              </w:rPr>
              <w:t>DRAM</w:t>
            </w:r>
          </w:p>
        </w:tc>
        <w:tc>
          <w:tcPr>
            <w:tcW w:type="dxa" w:w="1882"/>
          </w:tcPr>
          <w:p>
            <w:pPr>
              <w:spacing w:after="80" w:before="80" w:line="280" w:lineRule="exact"/>
            </w:pPr>
            <w:r>
              <w:rPr>
                <w:b w:val="0"/>
                <w:i w:val="0"/>
                <w:sz w:val="18"/>
              </w:rPr>
              <w:t>DUV＋部分EUV</w:t>
            </w:r>
          </w:p>
        </w:tc>
        <w:tc>
          <w:tcPr>
            <w:tcW w:type="dxa" w:w="1882"/>
          </w:tcPr>
          <w:p>
            <w:pPr>
              <w:spacing w:after="80" w:before="80" w:line="280" w:lineRule="exact"/>
            </w:pPr>
            <w:r>
              <w:rPr>
                <w:b w:val="0"/>
                <w:i w:val="0"/>
                <w:sz w:val="18"/>
              </w:rPr>
              <w:t>电容、沉积、材料处理</w:t>
            </w:r>
          </w:p>
        </w:tc>
        <w:tc>
          <w:tcPr>
            <w:tcW w:type="dxa" w:w="1882"/>
          </w:tcPr>
          <w:p>
            <w:pPr>
              <w:spacing w:after="80" w:before="80" w:line="280" w:lineRule="exact"/>
            </w:pPr>
            <w:r>
              <w:rPr>
                <w:b w:val="0"/>
                <w:i w:val="0"/>
                <w:sz w:val="18"/>
              </w:rPr>
              <w:t>高深宽比刻蚀、沉积</w:t>
            </w:r>
          </w:p>
        </w:tc>
        <w:tc>
          <w:tcPr>
            <w:tcW w:type="dxa" w:w="1882"/>
          </w:tcPr>
          <w:p>
            <w:pPr>
              <w:spacing w:after="80" w:before="80" w:line="280" w:lineRule="exact"/>
            </w:pPr>
            <w:r>
              <w:rPr>
                <w:b w:val="0"/>
                <w:i w:val="0"/>
                <w:sz w:val="18"/>
              </w:rPr>
              <w:t>DRAM良率检测</w:t>
            </w:r>
          </w:p>
        </w:tc>
      </w:tr>
      <w:tr>
        <w:tc>
          <w:tcPr>
            <w:tcW w:type="dxa" w:w="1882"/>
          </w:tcPr>
          <w:p>
            <w:pPr>
              <w:spacing w:after="80" w:before="80" w:line="280" w:lineRule="exact"/>
            </w:pPr>
            <w:r>
              <w:rPr>
                <w:b w:val="0"/>
                <w:i w:val="0"/>
                <w:sz w:val="18"/>
              </w:rPr>
              <w:t>HBM</w:t>
            </w:r>
          </w:p>
        </w:tc>
        <w:tc>
          <w:tcPr>
            <w:tcW w:type="dxa" w:w="1882"/>
          </w:tcPr>
          <w:p>
            <w:pPr>
              <w:spacing w:after="80" w:before="80" w:line="280" w:lineRule="exact"/>
            </w:pPr>
            <w:r>
              <w:rPr>
                <w:b w:val="0"/>
                <w:i w:val="0"/>
                <w:sz w:val="18"/>
              </w:rPr>
              <w:t>DRAM晶圆光刻</w:t>
            </w:r>
          </w:p>
        </w:tc>
        <w:tc>
          <w:tcPr>
            <w:tcW w:type="dxa" w:w="1882"/>
          </w:tcPr>
          <w:p>
            <w:pPr>
              <w:spacing w:after="80" w:before="80" w:line="280" w:lineRule="exact"/>
            </w:pPr>
            <w:r>
              <w:rPr>
                <w:b w:val="0"/>
                <w:i w:val="0"/>
                <w:sz w:val="18"/>
              </w:rPr>
              <w:t>TSV、互连、封装材料</w:t>
            </w:r>
          </w:p>
        </w:tc>
        <w:tc>
          <w:tcPr>
            <w:tcW w:type="dxa" w:w="1882"/>
          </w:tcPr>
          <w:p>
            <w:pPr>
              <w:spacing w:after="80" w:before="80" w:line="280" w:lineRule="exact"/>
            </w:pPr>
            <w:r>
              <w:rPr>
                <w:b w:val="0"/>
                <w:i w:val="0"/>
                <w:sz w:val="18"/>
              </w:rPr>
              <w:t>TSV刻蚀、铜沉积、清洗、键合</w:t>
            </w:r>
          </w:p>
        </w:tc>
        <w:tc>
          <w:tcPr>
            <w:tcW w:type="dxa" w:w="1882"/>
          </w:tcPr>
          <w:p>
            <w:pPr>
              <w:spacing w:after="80" w:before="80" w:line="280" w:lineRule="exact"/>
            </w:pPr>
            <w:r>
              <w:rPr>
                <w:b w:val="0"/>
                <w:i w:val="0"/>
                <w:sz w:val="18"/>
              </w:rPr>
              <w:t>HBM晶圆及封装检测</w:t>
            </w:r>
          </w:p>
        </w:tc>
      </w:tr>
      <w:tr>
        <w:tc>
          <w:tcPr>
            <w:tcW w:type="dxa" w:w="1882"/>
          </w:tcPr>
          <w:p>
            <w:pPr>
              <w:spacing w:after="80" w:before="80" w:line="280" w:lineRule="exact"/>
            </w:pPr>
            <w:r>
              <w:rPr>
                <w:b w:val="0"/>
                <w:i w:val="0"/>
                <w:sz w:val="18"/>
              </w:rPr>
              <w:t>3D NAND</w:t>
            </w:r>
          </w:p>
        </w:tc>
        <w:tc>
          <w:tcPr>
            <w:tcW w:type="dxa" w:w="1882"/>
          </w:tcPr>
          <w:p>
            <w:pPr>
              <w:spacing w:after="80" w:before="80" w:line="280" w:lineRule="exact"/>
            </w:pPr>
            <w:r>
              <w:rPr>
                <w:b w:val="0"/>
                <w:i w:val="0"/>
                <w:sz w:val="18"/>
              </w:rPr>
              <w:t>光刻，增量相对有限</w:t>
            </w:r>
          </w:p>
        </w:tc>
        <w:tc>
          <w:tcPr>
            <w:tcW w:type="dxa" w:w="1882"/>
          </w:tcPr>
          <w:p>
            <w:pPr>
              <w:spacing w:after="80" w:before="80" w:line="280" w:lineRule="exact"/>
            </w:pPr>
            <w:r>
              <w:rPr>
                <w:b w:val="0"/>
                <w:i w:val="0"/>
                <w:sz w:val="18"/>
              </w:rPr>
              <w:t>多层薄膜沉积</w:t>
            </w:r>
          </w:p>
        </w:tc>
        <w:tc>
          <w:tcPr>
            <w:tcW w:type="dxa" w:w="1882"/>
          </w:tcPr>
          <w:p>
            <w:pPr>
              <w:spacing w:after="80" w:before="80" w:line="280" w:lineRule="exact"/>
            </w:pPr>
            <w:r>
              <w:rPr>
                <w:b w:val="0"/>
                <w:i w:val="0"/>
                <w:sz w:val="18"/>
              </w:rPr>
              <w:t>深孔刻蚀和沉积最受益</w:t>
            </w:r>
          </w:p>
        </w:tc>
        <w:tc>
          <w:tcPr>
            <w:tcW w:type="dxa" w:w="1882"/>
          </w:tcPr>
          <w:p>
            <w:pPr>
              <w:spacing w:after="80" w:before="80" w:line="280" w:lineRule="exact"/>
            </w:pPr>
            <w:r>
              <w:rPr>
                <w:b w:val="0"/>
                <w:i w:val="0"/>
                <w:sz w:val="18"/>
              </w:rPr>
              <w:t>层数和缺陷检测</w:t>
            </w:r>
          </w:p>
        </w:tc>
      </w:tr>
      <w:tr>
        <w:tc>
          <w:tcPr>
            <w:tcW w:type="dxa" w:w="1882"/>
          </w:tcPr>
          <w:p>
            <w:pPr>
              <w:spacing w:after="80" w:before="80" w:line="280" w:lineRule="exact"/>
            </w:pPr>
            <w:r>
              <w:rPr>
                <w:b w:val="0"/>
                <w:i w:val="0"/>
                <w:sz w:val="18"/>
              </w:rPr>
              <w:t>模拟/MCU/功率</w:t>
            </w:r>
          </w:p>
        </w:tc>
        <w:tc>
          <w:tcPr>
            <w:tcW w:type="dxa" w:w="1882"/>
          </w:tcPr>
          <w:p>
            <w:pPr>
              <w:spacing w:after="80" w:before="80" w:line="280" w:lineRule="exact"/>
            </w:pPr>
            <w:r>
              <w:rPr>
                <w:b w:val="0"/>
                <w:i w:val="0"/>
                <w:sz w:val="18"/>
              </w:rPr>
              <w:t>主要DUV</w:t>
            </w:r>
          </w:p>
        </w:tc>
        <w:tc>
          <w:tcPr>
            <w:tcW w:type="dxa" w:w="1882"/>
          </w:tcPr>
          <w:p>
            <w:pPr>
              <w:spacing w:after="80" w:before="80" w:line="280" w:lineRule="exact"/>
            </w:pPr>
            <w:r>
              <w:rPr>
                <w:b w:val="0"/>
                <w:i w:val="0"/>
                <w:sz w:val="18"/>
              </w:rPr>
              <w:t>产品覆盖较广</w:t>
            </w:r>
          </w:p>
        </w:tc>
        <w:tc>
          <w:tcPr>
            <w:tcW w:type="dxa" w:w="1882"/>
          </w:tcPr>
          <w:p>
            <w:pPr>
              <w:spacing w:after="80" w:before="80" w:line="280" w:lineRule="exact"/>
            </w:pPr>
            <w:r>
              <w:rPr>
                <w:b w:val="0"/>
                <w:i w:val="0"/>
                <w:sz w:val="18"/>
              </w:rPr>
              <w:t>刻蚀、清洗、沉积</w:t>
            </w:r>
          </w:p>
        </w:tc>
        <w:tc>
          <w:tcPr>
            <w:tcW w:type="dxa" w:w="1882"/>
          </w:tcPr>
          <w:p>
            <w:pPr>
              <w:spacing w:after="80" w:before="80" w:line="280" w:lineRule="exact"/>
            </w:pPr>
            <w:r>
              <w:rPr>
                <w:b w:val="0"/>
                <w:i w:val="0"/>
                <w:sz w:val="18"/>
              </w:rPr>
              <w:t>缺陷检测</w:t>
            </w:r>
          </w:p>
        </w:tc>
      </w:tr>
      <w:tr>
        <w:tc>
          <w:tcPr>
            <w:tcW w:type="dxa" w:w="1882"/>
          </w:tcPr>
          <w:p>
            <w:pPr>
              <w:spacing w:after="80" w:before="80" w:line="280" w:lineRule="exact"/>
            </w:pPr>
            <w:r>
              <w:rPr>
                <w:b w:val="0"/>
                <w:i w:val="0"/>
                <w:sz w:val="18"/>
              </w:rPr>
              <w:t>先进封装</w:t>
            </w:r>
          </w:p>
        </w:tc>
        <w:tc>
          <w:tcPr>
            <w:tcW w:type="dxa" w:w="1882"/>
          </w:tcPr>
          <w:p>
            <w:pPr>
              <w:spacing w:after="80" w:before="80" w:line="280" w:lineRule="exact"/>
            </w:pPr>
            <w:r>
              <w:rPr>
                <w:b w:val="0"/>
                <w:i w:val="0"/>
                <w:sz w:val="18"/>
              </w:rPr>
              <w:t>占比小</w:t>
            </w:r>
          </w:p>
        </w:tc>
        <w:tc>
          <w:tcPr>
            <w:tcW w:type="dxa" w:w="1882"/>
          </w:tcPr>
          <w:p>
            <w:pPr>
              <w:spacing w:after="80" w:before="80" w:line="280" w:lineRule="exact"/>
            </w:pPr>
            <w:r>
              <w:rPr>
                <w:b w:val="0"/>
                <w:i w:val="0"/>
                <w:sz w:val="18"/>
              </w:rPr>
              <w:t>封装、互连、材料加工</w:t>
            </w:r>
          </w:p>
        </w:tc>
        <w:tc>
          <w:tcPr>
            <w:tcW w:type="dxa" w:w="1882"/>
          </w:tcPr>
          <w:p>
            <w:pPr>
              <w:spacing w:after="80" w:before="80" w:line="280" w:lineRule="exact"/>
            </w:pPr>
            <w:r>
              <w:rPr>
                <w:b w:val="0"/>
                <w:i w:val="0"/>
                <w:sz w:val="18"/>
              </w:rPr>
              <w:t>TSV、沉积、刻蚀、键合</w:t>
            </w:r>
          </w:p>
        </w:tc>
        <w:tc>
          <w:tcPr>
            <w:tcW w:type="dxa" w:w="1882"/>
          </w:tcPr>
          <w:p>
            <w:pPr>
              <w:spacing w:after="80" w:before="80" w:line="280" w:lineRule="exact"/>
            </w:pPr>
            <w:r>
              <w:rPr>
                <w:b w:val="0"/>
                <w:i w:val="0"/>
                <w:sz w:val="18"/>
              </w:rPr>
              <w:t>封装及基板检测</w:t>
            </w:r>
          </w:p>
        </w:tc>
      </w:tr>
    </w:tbl>
    <w:p>
      <w:pPr>
        <w:spacing w:after="60"/>
      </w:pPr>
    </w:p>
    <w:p>
      <w:r>
        <w:rPr>
          <w:b w:val="0"/>
          <w:i w:val="0"/>
        </w:rPr>
        <w:t>简单归纳：</w:t>
      </w:r>
      <w:r>
        <w:rPr>
          <w:b/>
          <w:i w:val="0"/>
        </w:rPr>
        <w:t>GPU/CPU先进制程最直接看ASML；新材料和晶体管结构变化看AMAT；存储扩产、3D NAND和HBM弹性看LRCX；制程越复杂、良率越难做，越利好KLAC。</w:t>
      </w:r>
    </w:p>
    <w:p>
      <w:pPr>
        <w:pStyle w:val="Heading1"/>
      </w:pPr>
      <w:r>
        <w:rPr>
          <w:b w:val="0"/>
          <w:i w:val="0"/>
        </w:rPr>
        <w:t>七、四家公司赚钱的底层公式</w:t>
      </w:r>
    </w:p>
    <w:p>
      <w:r>
        <w:rPr>
          <w:b w:val="0"/>
          <w:i w:val="0"/>
        </w:rPr>
        <w:t>设备公司的收入大致可以拆成：</w:t>
      </w:r>
    </w:p>
    <w:p>
      <w:pPr>
        <w:ind w:left="227"/>
      </w:pPr>
      <w:r>
        <w:rPr>
          <w:b w:val="0"/>
          <w:i w:val="0"/>
        </w:rPr>
        <w:t>晶圆产能增长 × 每片晶圆设备价值量 × 市场份额 ＋ 存量设备服务、备件和升级收入</w:t>
      </w:r>
    </w:p>
    <w:p>
      <w:r>
        <w:rPr>
          <w:b w:val="0"/>
          <w:i w:val="0"/>
        </w:rPr>
        <w:t>真正驱动设备公司盈利的五件事：</w:t>
      </w:r>
    </w:p>
    <w:p>
      <w:pPr>
        <w:ind w:left="255" w:hanging="198"/>
      </w:pPr>
      <w:r>
        <w:t xml:space="preserve">1. </w:t>
      </w:r>
      <w:r>
        <w:rPr>
          <w:b/>
          <w:i w:val="0"/>
        </w:rPr>
        <w:t>晶圆厂扩产</w:t>
      </w:r>
      <w:r>
        <w:rPr>
          <w:b w:val="0"/>
          <w:i w:val="0"/>
        </w:rPr>
        <w:t xml:space="preserve"> — 传统资本开支周期</w:t>
      </w:r>
    </w:p>
    <w:p>
      <w:pPr>
        <w:ind w:left="255" w:hanging="198"/>
      </w:pPr>
      <w:r>
        <w:t xml:space="preserve">2. </w:t>
      </w:r>
      <w:r>
        <w:rPr>
          <w:b/>
          <w:i w:val="0"/>
        </w:rPr>
        <w:t>制程升级</w:t>
      </w:r>
      <w:r>
        <w:rPr>
          <w:b w:val="0"/>
          <w:i w:val="0"/>
        </w:rPr>
        <w:t xml:space="preserve"> — 技术升级周期，即使产量不增长</w:t>
      </w:r>
    </w:p>
    <w:p>
      <w:pPr>
        <w:ind w:left="255" w:hanging="198"/>
      </w:pPr>
      <w:r>
        <w:t xml:space="preserve">3. </w:t>
      </w:r>
      <w:r>
        <w:rPr>
          <w:b/>
          <w:i w:val="0"/>
        </w:rPr>
        <w:t>工艺步骤增加</w:t>
      </w:r>
      <w:r>
        <w:rPr>
          <w:b w:val="0"/>
          <w:i w:val="0"/>
        </w:rPr>
        <w:t xml:space="preserve"> — 3D结构使每片晶圆需要更多工序</w:t>
      </w:r>
    </w:p>
    <w:p>
      <w:pPr>
        <w:ind w:left="255" w:hanging="198"/>
      </w:pPr>
      <w:r>
        <w:t xml:space="preserve">4. </w:t>
      </w:r>
      <w:r>
        <w:rPr>
          <w:b/>
          <w:i w:val="0"/>
        </w:rPr>
        <w:t>市场份额变化</w:t>
      </w:r>
      <w:r>
        <w:rPr>
          <w:b w:val="0"/>
          <w:i w:val="0"/>
        </w:rPr>
        <w:t xml:space="preserve"> — 通过竞争提高收入</w:t>
      </w:r>
    </w:p>
    <w:p>
      <w:pPr>
        <w:ind w:left="255" w:hanging="198"/>
      </w:pPr>
      <w:r>
        <w:t xml:space="preserve">5. </w:t>
      </w:r>
      <w:r>
        <w:rPr>
          <w:b/>
          <w:i w:val="0"/>
        </w:rPr>
        <w:t>存量装机服务</w:t>
      </w:r>
      <w:r>
        <w:rPr>
          <w:b w:val="0"/>
          <w:i w:val="0"/>
        </w:rPr>
        <w:t xml:space="preserve"> — 满负荷运转时服务收入仍增长</w:t>
      </w:r>
    </w:p>
    <w:p>
      <w:pPr>
        <w:pStyle w:val="Heading1"/>
      </w:pPr>
      <w:r>
        <w:rPr>
          <w:b w:val="0"/>
          <w:i w:val="0"/>
        </w:rPr>
        <w:t>八、毛利率和业务模型对比</w:t>
      </w:r>
    </w:p>
    <w:tbl>
      <w:tblPr>
        <w:tblStyle w:val="TableGrid"/>
        <w:tblW w:type="auto" w:w="0"/>
        <w:tblLayout w:type="fixed"/>
        <w:tblLook w:firstColumn="1" w:firstRow="1" w:lastColumn="0" w:lastRow="0" w:noHBand="0" w:noVBand="1" w:val="04A0"/>
      </w:tblPr>
      <w:tblGrid>
        <w:gridCol w:w="3137"/>
        <w:gridCol w:w="3137"/>
        <w:gridCol w:w="3137"/>
      </w:tblGrid>
      <w:tr>
        <w:trPr>
          <w:tblHeader/>
        </w:trPr>
        <w:tc>
          <w:tcPr>
            <w:tcW w:type="dxa" w:w="3137"/>
            <w:shd w:fill="E9EEE6"/>
          </w:tcPr>
          <w:p>
            <w:pPr>
              <w:spacing w:after="80" w:before="80" w:line="280" w:lineRule="exact"/>
            </w:pPr>
            <w:r>
              <w:rPr>
                <w:b/>
                <w:i w:val="0"/>
                <w:sz w:val="20"/>
              </w:rPr>
              <w:t>公司</w:t>
            </w:r>
          </w:p>
        </w:tc>
        <w:tc>
          <w:tcPr>
            <w:tcW w:type="dxa" w:w="3137"/>
            <w:shd w:fill="E9EEE6"/>
          </w:tcPr>
          <w:p>
            <w:pPr>
              <w:spacing w:after="80" w:before="80" w:line="280" w:lineRule="exact"/>
            </w:pPr>
            <w:r>
              <w:rPr>
                <w:b/>
                <w:i w:val="0"/>
                <w:sz w:val="20"/>
              </w:rPr>
              <w:t>近期毛利率</w:t>
            </w:r>
          </w:p>
        </w:tc>
        <w:tc>
          <w:tcPr>
            <w:tcW w:type="dxa" w:w="3137"/>
            <w:shd w:fill="E9EEE6"/>
          </w:tcPr>
          <w:p>
            <w:pPr>
              <w:spacing w:after="80" w:before="80" w:line="280" w:lineRule="exact"/>
            </w:pPr>
            <w:r>
              <w:rPr>
                <w:b/>
                <w:i w:val="0"/>
                <w:sz w:val="20"/>
              </w:rPr>
              <w:t>核心原因</w:t>
            </w:r>
          </w:p>
        </w:tc>
      </w:tr>
      <w:tr>
        <w:tc>
          <w:tcPr>
            <w:tcW w:type="dxa" w:w="3137"/>
          </w:tcPr>
          <w:p>
            <w:pPr>
              <w:spacing w:after="80" w:before="80" w:line="280" w:lineRule="exact"/>
            </w:pPr>
            <w:r>
              <w:rPr>
                <w:b w:val="0"/>
                <w:i w:val="0"/>
                <w:sz w:val="20"/>
              </w:rPr>
              <w:t>KLAC</w:t>
            </w:r>
          </w:p>
        </w:tc>
        <w:tc>
          <w:tcPr>
            <w:tcW w:type="dxa" w:w="3137"/>
          </w:tcPr>
          <w:p>
            <w:pPr>
              <w:spacing w:after="80" w:before="80" w:line="280" w:lineRule="exact"/>
            </w:pPr>
            <w:r>
              <w:rPr>
                <w:b w:val="0"/>
                <w:i w:val="0"/>
                <w:sz w:val="20"/>
              </w:rPr>
              <w:t>约60%—61%</w:t>
            </w:r>
          </w:p>
        </w:tc>
        <w:tc>
          <w:tcPr>
            <w:tcW w:type="dxa" w:w="3137"/>
          </w:tcPr>
          <w:p>
            <w:pPr>
              <w:spacing w:after="80" w:before="80" w:line="280" w:lineRule="exact"/>
            </w:pPr>
            <w:r>
              <w:rPr>
                <w:b w:val="0"/>
                <w:i w:val="0"/>
                <w:sz w:val="20"/>
              </w:rPr>
              <w:t>检测、量测、算法和良率价值高</w:t>
            </w:r>
          </w:p>
        </w:tc>
      </w:tr>
      <w:tr>
        <w:tc>
          <w:tcPr>
            <w:tcW w:type="dxa" w:w="3137"/>
          </w:tcPr>
          <w:p>
            <w:pPr>
              <w:spacing w:after="80" w:before="80" w:line="280" w:lineRule="exact"/>
            </w:pPr>
            <w:r>
              <w:rPr>
                <w:b w:val="0"/>
                <w:i w:val="0"/>
                <w:sz w:val="20"/>
              </w:rPr>
              <w:t>ASML</w:t>
            </w:r>
          </w:p>
        </w:tc>
        <w:tc>
          <w:tcPr>
            <w:tcW w:type="dxa" w:w="3137"/>
          </w:tcPr>
          <w:p>
            <w:pPr>
              <w:spacing w:after="80" w:before="80" w:line="280" w:lineRule="exact"/>
            </w:pPr>
            <w:r>
              <w:rPr>
                <w:b w:val="0"/>
                <w:i w:val="0"/>
                <w:sz w:val="20"/>
              </w:rPr>
              <w:t>约51%—53%</w:t>
            </w:r>
          </w:p>
        </w:tc>
        <w:tc>
          <w:tcPr>
            <w:tcW w:type="dxa" w:w="3137"/>
          </w:tcPr>
          <w:p>
            <w:pPr>
              <w:spacing w:after="80" w:before="80" w:line="280" w:lineRule="exact"/>
            </w:pPr>
            <w:r>
              <w:rPr>
                <w:b w:val="0"/>
                <w:i w:val="0"/>
                <w:sz w:val="20"/>
              </w:rPr>
              <w:t>EUV垄断，但硬件和供应链成本极高</w:t>
            </w:r>
          </w:p>
        </w:tc>
      </w:tr>
      <w:tr>
        <w:tc>
          <w:tcPr>
            <w:tcW w:type="dxa" w:w="3137"/>
          </w:tcPr>
          <w:p>
            <w:pPr>
              <w:spacing w:after="80" w:before="80" w:line="280" w:lineRule="exact"/>
            </w:pPr>
            <w:r>
              <w:rPr>
                <w:b w:val="0"/>
                <w:i w:val="0"/>
                <w:sz w:val="20"/>
              </w:rPr>
              <w:t>LRCX</w:t>
            </w:r>
          </w:p>
        </w:tc>
        <w:tc>
          <w:tcPr>
            <w:tcW w:type="dxa" w:w="3137"/>
          </w:tcPr>
          <w:p>
            <w:pPr>
              <w:spacing w:after="80" w:before="80" w:line="280" w:lineRule="exact"/>
            </w:pPr>
            <w:r>
              <w:rPr>
                <w:b w:val="0"/>
                <w:i w:val="0"/>
                <w:sz w:val="20"/>
              </w:rPr>
              <w:t>约49%—50%</w:t>
            </w:r>
          </w:p>
        </w:tc>
        <w:tc>
          <w:tcPr>
            <w:tcW w:type="dxa" w:w="3137"/>
          </w:tcPr>
          <w:p>
            <w:pPr>
              <w:spacing w:after="80" w:before="80" w:line="280" w:lineRule="exact"/>
            </w:pPr>
            <w:r>
              <w:rPr>
                <w:b w:val="0"/>
                <w:i w:val="0"/>
                <w:sz w:val="20"/>
              </w:rPr>
              <w:t>刻蚀、沉积高壁垒，产品制造成本仍高</w:t>
            </w:r>
          </w:p>
        </w:tc>
      </w:tr>
      <w:tr>
        <w:tc>
          <w:tcPr>
            <w:tcW w:type="dxa" w:w="3137"/>
          </w:tcPr>
          <w:p>
            <w:pPr>
              <w:spacing w:after="80" w:before="80" w:line="280" w:lineRule="exact"/>
            </w:pPr>
            <w:r>
              <w:rPr>
                <w:b w:val="0"/>
                <w:i w:val="0"/>
                <w:sz w:val="20"/>
              </w:rPr>
              <w:t>AMAT</w:t>
            </w:r>
          </w:p>
        </w:tc>
        <w:tc>
          <w:tcPr>
            <w:tcW w:type="dxa" w:w="3137"/>
          </w:tcPr>
          <w:p>
            <w:pPr>
              <w:spacing w:after="80" w:before="80" w:line="280" w:lineRule="exact"/>
            </w:pPr>
            <w:r>
              <w:rPr>
                <w:b w:val="0"/>
                <w:i w:val="0"/>
                <w:sz w:val="20"/>
              </w:rPr>
              <w:t>约49%—50%</w:t>
            </w:r>
          </w:p>
        </w:tc>
        <w:tc>
          <w:tcPr>
            <w:tcW w:type="dxa" w:w="3137"/>
          </w:tcPr>
          <w:p>
            <w:pPr>
              <w:spacing w:after="80" w:before="80" w:line="280" w:lineRule="exact"/>
            </w:pPr>
            <w:r>
              <w:rPr>
                <w:b w:val="0"/>
                <w:i w:val="0"/>
                <w:sz w:val="20"/>
              </w:rPr>
              <w:t>半导体系统毛利较高，服务业务拉低合并毛利</w:t>
            </w:r>
          </w:p>
        </w:tc>
      </w:tr>
    </w:tbl>
    <w:p>
      <w:pPr>
        <w:spacing w:after="60"/>
      </w:pPr>
    </w:p>
    <w:p>
      <w:r>
        <w:rPr>
          <w:b w:val="0"/>
          <w:i w:val="0"/>
        </w:rPr>
        <w:t>不能简单认为毛利率越高就一定越好。ASML毛利率低于KLAC但技术垄断性更强；LRCX毛利率低于ASML但存储扩产周期中业绩弹性更大；AMAT产品最全面，抗单一产品风险更强。</w:t>
      </w:r>
    </w:p>
    <w:p>
      <w:pPr>
        <w:pStyle w:val="Heading1"/>
      </w:pPr>
      <w:r>
        <w:rPr>
          <w:b w:val="0"/>
          <w:i w:val="0"/>
        </w:rPr>
        <w:t>九、周期性应该怎么理解</w:t>
      </w:r>
    </w:p>
    <w:p>
      <w:r>
        <w:rPr>
          <w:b w:val="0"/>
          <w:i w:val="0"/>
        </w:rPr>
        <w:t>设备行业不是单一周期，而是三个周期叠加。</w:t>
      </w:r>
    </w:p>
    <w:p>
      <w:r>
        <w:rPr>
          <w:b/>
          <w:i w:val="0"/>
        </w:rPr>
        <w:t>产能周期：</w:t>
      </w:r>
      <w:r>
        <w:rPr>
          <w:b w:val="0"/>
          <w:i w:val="0"/>
        </w:rPr>
        <w:t>芯片供不应求→扩产→过剩→资本开支下降。存储最典型，LRCX具有较明显的存储周期属性。</w:t>
      </w:r>
    </w:p>
    <w:p>
      <w:r>
        <w:rPr>
          <w:b/>
          <w:i w:val="0"/>
        </w:rPr>
        <w:t>技术周期：</w:t>
      </w:r>
      <w:r>
        <w:rPr>
          <w:b w:val="0"/>
          <w:i w:val="0"/>
        </w:rPr>
        <w:t>即使总需求一般，只要行业推进2纳米、GAA、High-NA、背面供电、HBM4、更高层3D NAND，设备公司仍可能增长。对ASML、AMAT、KLAC尤其重要。</w:t>
      </w:r>
    </w:p>
    <w:p>
      <w:r>
        <w:rPr>
          <w:b/>
          <w:i w:val="0"/>
        </w:rPr>
        <w:t>地缘和区域建厂周期：</w:t>
      </w:r>
      <w:r>
        <w:rPr>
          <w:b w:val="0"/>
          <w:i w:val="0"/>
        </w:rPr>
        <w:t>美欧日韩中推动本土制造，可能导致全球同样的芯片需求对应更多区域性晶圆厂。但出口限制也可能直接影响设备公司在中国的收入。</w:t>
      </w:r>
    </w:p>
    <w:p>
      <w:pPr>
        <w:pStyle w:val="Heading1"/>
      </w:pPr>
      <w:r>
        <w:rPr>
          <w:b w:val="0"/>
          <w:i w:val="0"/>
        </w:rPr>
        <w:t>十、技术壁垒远不止专利</w:t>
      </w:r>
    </w:p>
    <w:p>
      <w:r>
        <w:rPr>
          <w:b w:val="0"/>
          <w:i w:val="0"/>
        </w:rPr>
        <w:t>设备公司的真正护城河有六层：</w:t>
      </w:r>
    </w:p>
    <w:p>
      <w:pPr>
        <w:ind w:left="255" w:hanging="198"/>
      </w:pPr>
      <w:r>
        <w:t xml:space="preserve">1. </w:t>
      </w:r>
      <w:r>
        <w:rPr>
          <w:b/>
          <w:i w:val="0"/>
        </w:rPr>
        <w:t>物理和工程极限</w:t>
      </w:r>
      <w:r>
        <w:rPr>
          <w:b w:val="0"/>
          <w:i w:val="0"/>
        </w:rPr>
        <w:t xml:space="preserve"> — ASML控制极紫外光和纳米级定位；LRCX控制等离子体和深孔刻蚀</w:t>
      </w:r>
    </w:p>
    <w:p>
      <w:pPr>
        <w:ind w:left="255" w:hanging="198"/>
      </w:pPr>
      <w:r>
        <w:t xml:space="preserve">2. </w:t>
      </w:r>
      <w:r>
        <w:rPr>
          <w:b/>
          <w:i w:val="0"/>
        </w:rPr>
        <w:t>工艺配方</w:t>
      </w:r>
      <w:r>
        <w:rPr>
          <w:b w:val="0"/>
          <w:i w:val="0"/>
        </w:rPr>
        <w:t xml:space="preserve"> — 设备＋工艺配方＋软件＋工程师调试，同一设备在不同晶圆厂的工艺完全不同</w:t>
      </w:r>
    </w:p>
    <w:p>
      <w:pPr>
        <w:ind w:left="255" w:hanging="198"/>
      </w:pPr>
      <w:r>
        <w:t xml:space="preserve">3. </w:t>
      </w:r>
      <w:r>
        <w:rPr>
          <w:b/>
          <w:i w:val="0"/>
        </w:rPr>
        <w:t>客户认证</w:t>
      </w:r>
      <w:r>
        <w:rPr>
          <w:b w:val="0"/>
          <w:i w:val="0"/>
        </w:rPr>
        <w:t xml:space="preserve"> — 一旦进入正式量产流程，更换供应商可能导致良率下降</w:t>
      </w:r>
    </w:p>
    <w:p>
      <w:pPr>
        <w:ind w:left="255" w:hanging="198"/>
      </w:pPr>
      <w:r>
        <w:t xml:space="preserve">4. </w:t>
      </w:r>
      <w:r>
        <w:rPr>
          <w:b/>
          <w:i w:val="0"/>
        </w:rPr>
        <w:t>数据积累</w:t>
      </w:r>
      <w:r>
        <w:rPr>
          <w:b w:val="0"/>
          <w:i w:val="0"/>
        </w:rPr>
        <w:t xml:space="preserve"> — 缺陷数据库、曝光和套刻数据随装机量持续积累</w:t>
      </w:r>
    </w:p>
    <w:p>
      <w:pPr>
        <w:ind w:left="255" w:hanging="198"/>
      </w:pPr>
      <w:r>
        <w:t xml:space="preserve">5. </w:t>
      </w:r>
      <w:r>
        <w:rPr>
          <w:b/>
          <w:i w:val="0"/>
        </w:rPr>
        <w:t>现场服务</w:t>
      </w:r>
      <w:r>
        <w:rPr>
          <w:b w:val="0"/>
          <w:i w:val="0"/>
        </w:rPr>
        <w:t xml:space="preserve"> — 设备商必须在客户晶圆厂附近配置工程师和备件网络</w:t>
      </w:r>
    </w:p>
    <w:p>
      <w:pPr>
        <w:ind w:left="255" w:hanging="198"/>
      </w:pPr>
      <w:r>
        <w:t xml:space="preserve">6. </w:t>
      </w:r>
      <w:r>
        <w:rPr>
          <w:b/>
          <w:i w:val="0"/>
        </w:rPr>
        <w:t>联合研发</w:t>
      </w:r>
      <w:r>
        <w:rPr>
          <w:b w:val="0"/>
          <w:i w:val="0"/>
        </w:rPr>
        <w:t xml:space="preserve"> — 设备商在客户新制程量产前数年就已经参与工艺开发</w:t>
      </w:r>
    </w:p>
    <w:p>
      <w:pPr>
        <w:pStyle w:val="Heading1"/>
      </w:pPr>
      <w:r>
        <w:rPr>
          <w:b w:val="0"/>
          <w:i w:val="0"/>
        </w:rPr>
        <w:t>十一、几个容易被忽略的重要问题</w:t>
      </w:r>
    </w:p>
    <w:p>
      <w:r>
        <w:rPr>
          <w:b/>
          <w:i w:val="0"/>
        </w:rPr>
        <w:t>1. 全球设备龙头不只有这四家。</w:t>
      </w:r>
      <w:r>
        <w:rPr>
          <w:b w:val="0"/>
          <w:i w:val="0"/>
        </w:rPr>
        <w:t>必须加上日本的Tokyo Electron（TEL），在涂胶显影、刻蚀、沉积和清洗等环节具有重要地位。</w:t>
      </w:r>
    </w:p>
    <w:p>
      <w:r>
        <w:rPr>
          <w:b/>
          <w:i w:val="0"/>
        </w:rPr>
        <w:t>2. 四家公司并不总是同步受益。</w:t>
      </w:r>
      <w:r>
        <w:rPr>
          <w:b w:val="0"/>
          <w:i w:val="0"/>
        </w:rPr>
        <w:t>EUV可以减少某些多重曝光需要的掩膜和工艺步骤，ASML因此受益，但原本需要多次沉积和刻蚀的多重图形化步骤可能减少。</w:t>
      </w:r>
    </w:p>
    <w:p>
      <w:r>
        <w:rPr>
          <w:b/>
          <w:i w:val="0"/>
        </w:rPr>
        <w:t>3. 芯片需求增长不等于设备收入立即增长。</w:t>
      </w:r>
      <w:r>
        <w:rPr>
          <w:b w:val="0"/>
          <w:i w:val="0"/>
        </w:rPr>
        <w:t>若台积电只是提高现有设备利用率，首先增长的是零部件、维护和消耗品；只有持续需求推动扩产时，新设备订单才会显著增加。</w:t>
      </w:r>
    </w:p>
    <w:p>
      <w:r>
        <w:rPr>
          <w:b/>
          <w:i w:val="0"/>
        </w:rPr>
        <w:t>4. 先进封装正在成为第五个设备战场。</w:t>
      </w:r>
      <w:r>
        <w:rPr>
          <w:b w:val="0"/>
          <w:i w:val="0"/>
        </w:rPr>
        <w:t>AI芯片需要GPU裸片、HBM、硅中介层、Chiplet、TSV、混合键合和大尺寸基板，正成为AMAT、LRCX、KLAC的新增量来源。</w:t>
      </w:r>
    </w:p>
    <w:p>
      <w:pPr>
        <w:pStyle w:val="Heading1"/>
      </w:pPr>
      <w:r>
        <w:rPr>
          <w:b w:val="0"/>
          <w:i w:val="0"/>
        </w:rPr>
        <w:t>十二、从投资角度怎么选择</w:t>
      </w:r>
    </w:p>
    <w:p>
      <w:r>
        <w:rPr>
          <w:b/>
          <w:i w:val="0"/>
        </w:rPr>
        <w:t>ASML：确定性和垄断性。</w:t>
      </w:r>
      <w:r>
        <w:rPr>
          <w:b w:val="0"/>
          <w:i w:val="0"/>
        </w:rPr>
        <w:t>适合交易先进制程扩张、EUV出货增加、High-NA量产。最大优点是不可替代。</w:t>
      </w:r>
    </w:p>
    <w:p>
      <w:r>
        <w:rPr>
          <w:b/>
          <w:i w:val="0"/>
        </w:rPr>
        <w:t>AMAT：最均衡。</w:t>
      </w:r>
      <w:r>
        <w:rPr>
          <w:b w:val="0"/>
          <w:i w:val="0"/>
        </w:rPr>
        <w:t>适合交易GAA、新材料、先进封装、全球晶圆厂整体资本开支。最大优点是产品覆盖全面。</w:t>
      </w:r>
    </w:p>
    <w:p>
      <w:r>
        <w:rPr>
          <w:b/>
          <w:i w:val="0"/>
        </w:rPr>
        <w:t>LRCX：弹性最大。</w:t>
      </w:r>
      <w:r>
        <w:rPr>
          <w:b w:val="0"/>
          <w:i w:val="0"/>
        </w:rPr>
        <w:t>适合交易DRAM资本开支上行、NAND复苏、HBM扩产、3D结构设备强度提升。最大优点是存储和3D结构上行业绩弹性强。</w:t>
      </w:r>
    </w:p>
    <w:p>
      <w:r>
        <w:rPr>
          <w:b/>
          <w:i w:val="0"/>
        </w:rPr>
        <w:t>KLAC：质量最高、毛利率最强。</w:t>
      </w:r>
      <w:r>
        <w:rPr>
          <w:b w:val="0"/>
          <w:i w:val="0"/>
        </w:rPr>
        <w:t>适合交易新节点研发、先进制程良率爬坡、过程控制资本强度提高、先进封装检测。最大优点是高毛利、数据壁垒、过程控制刚需。</w:t>
      </w:r>
    </w:p>
    <w:p>
      <w:pPr>
        <w:pStyle w:val="Heading1"/>
      </w:pPr>
      <w:r>
        <w:rPr>
          <w:b w:val="0"/>
          <w:i w:val="0"/>
        </w:rPr>
        <w:t>十三、机构式长期跟踪框架</w:t>
      </w:r>
    </w:p>
    <w:p>
      <w:pPr>
        <w:pStyle w:val="Heading2"/>
      </w:pPr>
      <w:r>
        <w:rPr>
          <w:b w:val="0"/>
          <w:i w:val="0"/>
        </w:rPr>
        <w:t>核心投资逻辑</w:t>
      </w:r>
    </w:p>
    <w:p>
      <w:pPr>
        <w:ind w:left="255" w:hanging="198"/>
      </w:pPr>
      <w:r>
        <w:t xml:space="preserve">• </w:t>
      </w:r>
      <w:r>
        <w:rPr>
          <w:b w:val="0"/>
          <w:i w:val="0"/>
        </w:rPr>
        <w:t>ASML：先进制程继续微缩，EUV和High-NA不可替代</w:t>
      </w:r>
    </w:p>
    <w:p>
      <w:pPr>
        <w:ind w:left="255" w:hanging="198"/>
      </w:pPr>
      <w:r>
        <w:t xml:space="preserve">• </w:t>
      </w:r>
      <w:r>
        <w:rPr>
          <w:b w:val="0"/>
          <w:i w:val="0"/>
        </w:rPr>
        <w:t>AMAT：芯片结构和材料复杂化，提高每片晶圆的材料工程设备价值量</w:t>
      </w:r>
    </w:p>
    <w:p>
      <w:pPr>
        <w:ind w:left="255" w:hanging="198"/>
      </w:pPr>
      <w:r>
        <w:t xml:space="preserve">• </w:t>
      </w:r>
      <w:r>
        <w:rPr>
          <w:b w:val="0"/>
          <w:i w:val="0"/>
        </w:rPr>
        <w:t>LRCX：存储与逻辑全面3D化，提高刻蚀和沉积强度</w:t>
      </w:r>
    </w:p>
    <w:p>
      <w:pPr>
        <w:ind w:left="255" w:hanging="198"/>
      </w:pPr>
      <w:r>
        <w:t xml:space="preserve">• </w:t>
      </w:r>
      <w:r>
        <w:rPr>
          <w:b w:val="0"/>
          <w:i w:val="0"/>
        </w:rPr>
        <w:t>KLAC：制程越复杂，缺陷控制和良率管理价值越高</w:t>
      </w:r>
    </w:p>
    <w:p>
      <w:pPr>
        <w:pStyle w:val="Heading2"/>
      </w:pPr>
      <w:r>
        <w:rPr>
          <w:b w:val="0"/>
          <w:i w:val="0"/>
        </w:rPr>
        <w:t>未来催化</w:t>
      </w:r>
    </w:p>
    <w:p>
      <w:r>
        <w:rPr>
          <w:b w:val="0"/>
          <w:i w:val="0"/>
        </w:rPr>
        <w:t>2纳米量产、High-NA导入、HBM4扩产、DRAM资本开支上行、NAND层数增加、GAA与背面供电、混合键合和先进封装扩张、全球区域性晶圆厂建设。</w:t>
      </w:r>
    </w:p>
    <w:p>
      <w:pPr>
        <w:pStyle w:val="Heading2"/>
      </w:pPr>
      <w:r>
        <w:rPr>
          <w:b w:val="0"/>
          <w:i w:val="0"/>
        </w:rPr>
        <w:t>最大风险</w:t>
      </w:r>
    </w:p>
    <w:p>
      <w:r>
        <w:rPr>
          <w:b w:val="0"/>
          <w:i w:val="0"/>
        </w:rPr>
        <w:t>AI资本开支见顶、存储厂过度扩产、晶圆厂推迟新节点、中国出口限制升级、客户资本开支高度集中、新设备量产良率和成本不达预期。</w:t>
      </w:r>
    </w:p>
    <w:p>
      <w:pPr>
        <w:pStyle w:val="Heading2"/>
      </w:pPr>
      <w:r>
        <w:rPr>
          <w:b w:val="0"/>
          <w:i w:val="0"/>
        </w:rPr>
        <w:t>最重要的5个跟踪指标</w:t>
      </w:r>
    </w:p>
    <w:p>
      <w:pPr>
        <w:ind w:left="255" w:hanging="198"/>
      </w:pPr>
      <w:r>
        <w:t xml:space="preserve">1. </w:t>
      </w:r>
      <w:r>
        <w:rPr>
          <w:b w:val="0"/>
          <w:i w:val="0"/>
        </w:rPr>
        <w:t>台积电、三星、Intel、美光、海力士的资本开支</w:t>
      </w:r>
    </w:p>
    <w:p>
      <w:pPr>
        <w:ind w:left="255" w:hanging="198"/>
      </w:pPr>
      <w:r>
        <w:t xml:space="preserve">2. </w:t>
      </w:r>
      <w:r>
        <w:rPr>
          <w:b w:val="0"/>
          <w:i w:val="0"/>
        </w:rPr>
        <w:t>全球WFE晶圆制造设备支出增速</w:t>
      </w:r>
    </w:p>
    <w:p>
      <w:pPr>
        <w:ind w:left="255" w:hanging="198"/>
      </w:pPr>
      <w:r>
        <w:t xml:space="preserve">3. </w:t>
      </w:r>
      <w:r>
        <w:rPr>
          <w:b w:val="0"/>
          <w:i w:val="0"/>
        </w:rPr>
        <w:t>DRAM、NAND、Foundry/Logic资本开支结构</w:t>
      </w:r>
    </w:p>
    <w:p>
      <w:pPr>
        <w:ind w:left="255" w:hanging="198"/>
      </w:pPr>
      <w:r>
        <w:t xml:space="preserve">4. </w:t>
      </w:r>
      <w:r>
        <w:rPr>
          <w:b w:val="0"/>
          <w:i w:val="0"/>
        </w:rPr>
        <w:t>各公司系统收入与服务收入增速</w:t>
      </w:r>
    </w:p>
    <w:p>
      <w:pPr>
        <w:ind w:left="255" w:hanging="198"/>
      </w:pPr>
      <w:r>
        <w:t xml:space="preserve">5. </w:t>
      </w:r>
      <w:r>
        <w:rPr>
          <w:b w:val="0"/>
          <w:i w:val="0"/>
        </w:rPr>
        <w:t>订单、积压订单、毛利率和客户延迟验收情况</w:t>
      </w:r>
    </w:p>
    <w:p>
      <w:pPr>
        <w:pStyle w:val="Heading2"/>
      </w:pPr>
      <w:r>
        <w:rPr>
          <w:b w:val="0"/>
          <w:i w:val="0"/>
        </w:rPr>
        <w:t>从组合属性看</w:t>
      </w:r>
    </w:p>
    <w:p>
      <w:pPr>
        <w:ind w:left="255" w:hanging="198"/>
      </w:pPr>
      <w:r>
        <w:t xml:space="preserve">• </w:t>
      </w:r>
      <w:r>
        <w:rPr>
          <w:b/>
          <w:i w:val="0"/>
        </w:rPr>
        <w:t>ASML</w:t>
      </w:r>
      <w:r>
        <w:rPr>
          <w:b w:val="0"/>
          <w:i w:val="0"/>
        </w:rPr>
        <w:t>是技术垄断核心仓</w:t>
      </w:r>
    </w:p>
    <w:p>
      <w:pPr>
        <w:ind w:left="255" w:hanging="198"/>
      </w:pPr>
      <w:r>
        <w:t xml:space="preserve">• </w:t>
      </w:r>
      <w:r>
        <w:rPr>
          <w:b/>
          <w:i w:val="0"/>
        </w:rPr>
        <w:t>KLAC</w:t>
      </w:r>
      <w:r>
        <w:rPr>
          <w:b w:val="0"/>
          <w:i w:val="0"/>
        </w:rPr>
        <w:t>是高毛利、高质量核心仓</w:t>
      </w:r>
    </w:p>
    <w:p>
      <w:pPr>
        <w:ind w:left="255" w:hanging="198"/>
      </w:pPr>
      <w:r>
        <w:t xml:space="preserve">• </w:t>
      </w:r>
      <w:r>
        <w:rPr>
          <w:b/>
          <w:i w:val="0"/>
        </w:rPr>
        <w:t>AMAT</w:t>
      </w:r>
      <w:r>
        <w:rPr>
          <w:b w:val="0"/>
          <w:i w:val="0"/>
        </w:rPr>
        <w:t>是产业宽基和新材料升级仓</w:t>
      </w:r>
    </w:p>
    <w:p>
      <w:pPr>
        <w:ind w:left="255" w:hanging="198"/>
      </w:pPr>
      <w:r>
        <w:t xml:space="preserve">• </w:t>
      </w:r>
      <w:r>
        <w:rPr>
          <w:b/>
          <w:i w:val="0"/>
        </w:rPr>
        <w:t>LRCX</w:t>
      </w:r>
      <w:r>
        <w:rPr>
          <w:b w:val="0"/>
          <w:i w:val="0"/>
        </w:rPr>
        <w:t>是HBM、DRAM、NAND和3D结构的高弹性仓</w:t>
      </w:r>
    </w:p>
    <w:p>
      <w:r>
        <w:rPr>
          <w:b w:val="0"/>
          <w:i w:val="0"/>
        </w:rPr>
        <w:t>如果只能用一句话区分四家公司：</w:t>
      </w:r>
    </w:p>
    <w:p>
      <w:pPr>
        <w:ind w:left="227"/>
      </w:pPr>
      <w:r>
        <w:rPr>
          <w:b w:val="0"/>
          <w:i w:val="0"/>
        </w:rPr>
        <w:t>ASML决定芯片能不能做得更小，AMAT决定新材料能不能放得进去，LRCX决定三维结构能不能刻得出来，KLAC决定最终有多少颗芯片能够合格出厂。</w:t>
      </w:r>
    </w:p>
    <w:p>
      <w:pPr>
        <w:pStyle w:val="Heading1"/>
      </w:pPr>
      <w:r>
        <w:t>原文引用链接</w:t>
      </w:r>
    </w:p>
    <w:p>
      <w:pPr>
        <w:spacing w:line="260" w:lineRule="exact"/>
      </w:pPr>
      <w:r>
        <w:rPr>
          <w:sz w:val="18"/>
        </w:rPr>
        <w:t xml:space="preserve">1. </w:t>
      </w:r>
      <w:hyperlink r:id="rId12">
        <w:r>
          <w:rPr>
            <w:color w:val="285B49"/>
            <w:u w:val="single"/>
          </w:rPr>
          <w:t>https://www.sec.gov/Archives/edgar/data/937966/000162828026011377/asml-2025xannualxreportx.htm</w:t>
        </w:r>
      </w:hyperlink>
    </w:p>
    <w:p>
      <w:pPr>
        <w:spacing w:line="260" w:lineRule="exact"/>
      </w:pPr>
      <w:r>
        <w:rPr>
          <w:sz w:val="18"/>
        </w:rPr>
        <w:t xml:space="preserve">2. </w:t>
      </w:r>
      <w:hyperlink r:id="rId13">
        <w:r>
          <w:rPr>
            <w:color w:val="285B49"/>
            <w:u w:val="single"/>
          </w:rPr>
          <w:t>https://www.asml.com/news/press-releases/2026/q1-2026-financial-results</w:t>
        </w:r>
      </w:hyperlink>
    </w:p>
    <w:p>
      <w:pPr>
        <w:spacing w:line="260" w:lineRule="exact"/>
      </w:pPr>
      <w:r>
        <w:rPr>
          <w:sz w:val="18"/>
        </w:rPr>
        <w:t xml:space="preserve">3. </w:t>
      </w:r>
      <w:hyperlink r:id="rId14">
        <w:r>
          <w:rPr>
            <w:color w:val="285B49"/>
            <w:u w:val="single"/>
          </w:rPr>
          <w:t>https://www.sec.gov/Archives/edgar/data/6951/000162828025056742/amat-20251026.htm</w:t>
        </w:r>
      </w:hyperlink>
    </w:p>
    <w:p>
      <w:pPr>
        <w:spacing w:line="260" w:lineRule="exact"/>
      </w:pPr>
      <w:r>
        <w:rPr>
          <w:sz w:val="18"/>
        </w:rPr>
        <w:t xml:space="preserve">4. </w:t>
      </w:r>
      <w:hyperlink r:id="rId15">
        <w:r>
          <w:rPr>
            <w:color w:val="285B49"/>
            <w:u w:val="single"/>
          </w:rPr>
          <w:t>https://ir.appliedmaterials.com/news-releases/news-release-details/applied-materials-announces-second-quarter-2026-results</w:t>
        </w:r>
      </w:hyperlink>
    </w:p>
    <w:p>
      <w:pPr>
        <w:spacing w:line="260" w:lineRule="exact"/>
      </w:pPr>
      <w:r>
        <w:rPr>
          <w:sz w:val="18"/>
        </w:rPr>
        <w:t xml:space="preserve">5. </w:t>
      </w:r>
      <w:hyperlink r:id="rId16">
        <w:r>
          <w:rPr>
            <w:color w:val="285B49"/>
            <w:u w:val="single"/>
          </w:rPr>
          <w:t>https://www.lamresearch.com/products/our-processes/etch/</w:t>
        </w:r>
      </w:hyperlink>
    </w:p>
    <w:p>
      <w:pPr>
        <w:spacing w:line="260" w:lineRule="exact"/>
      </w:pPr>
      <w:r>
        <w:rPr>
          <w:sz w:val="18"/>
        </w:rPr>
        <w:t xml:space="preserve">6. </w:t>
      </w:r>
      <w:hyperlink r:id="rId17">
        <w:r>
          <w:rPr>
            <w:color w:val="285B49"/>
            <w:u w:val="single"/>
          </w:rPr>
          <w:t>https://newsroom.lamresearch.com/inside-the-chip-advanced-packaging?blog=true</w:t>
        </w:r>
      </w:hyperlink>
    </w:p>
    <w:p>
      <w:pPr>
        <w:spacing w:line="260" w:lineRule="exact"/>
      </w:pPr>
      <w:r>
        <w:rPr>
          <w:sz w:val="18"/>
        </w:rPr>
        <w:t xml:space="preserve">7. </w:t>
      </w:r>
      <w:hyperlink r:id="rId18">
        <w:r>
          <w:rPr>
            <w:color w:val="285B49"/>
            <w:u w:val="single"/>
          </w:rPr>
          <w:t>https://newsroom.lamresearch.com/how-deposition-and-etch-are-reshaping-chips-for-the-ai-era?blog=true</w:t>
        </w:r>
      </w:hyperlink>
    </w:p>
    <w:p>
      <w:pPr>
        <w:spacing w:line="260" w:lineRule="exact"/>
      </w:pPr>
      <w:r>
        <w:rPr>
          <w:sz w:val="18"/>
        </w:rPr>
        <w:t xml:space="preserve">8. </w:t>
      </w:r>
      <w:hyperlink r:id="rId19">
        <w:r>
          <w:rPr>
            <w:color w:val="285B49"/>
            <w:u w:val="single"/>
          </w:rPr>
          <w:t>https://newsroom.lamresearch.com/2026-04-22-Lam-Research-Corporation-Reports-Financial-Results-for-the-Quarter-Ended-March-29%2C-2026</w:t>
        </w:r>
      </w:hyperlink>
    </w:p>
    <w:p>
      <w:pPr>
        <w:spacing w:line="260" w:lineRule="exact"/>
      </w:pPr>
      <w:r>
        <w:rPr>
          <w:sz w:val="18"/>
        </w:rPr>
        <w:t xml:space="preserve">9. </w:t>
      </w:r>
      <w:hyperlink r:id="rId20">
        <w:r>
          <w:rPr>
            <w:color w:val="285B49"/>
            <w:u w:val="single"/>
          </w:rPr>
          <w:t>https://www.sec.gov/Archives/edgar/data/319201/000031920125000024/klac-20250630.htm</w:t>
        </w:r>
      </w:hyperlink>
    </w:p>
    <w:sectPr w:rsidR="00FC693F" w:rsidRPr="0006063C" w:rsidSect="00034616">
      <w:headerReference w:type="default" r:id="rId9"/>
      <w:footerReference w:type="default" r:id="rId10"/>
      <w:pgSz w:w="11906" w:h="16838"/>
      <w:pgMar w:top="107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XXY Alpha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8736B"/>
      </w:rPr>
      <w:t>XXY Alpha  /  Leslie 的研究笔记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80" w:lineRule="exact" w:after="160"/>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HeaderChar">
    <w:name w:val="Header Char"/>
    <w:basedOn w:val="DefaultParagraphFont"/>
    <w:link w:val="Header"/>
    <w:uiPriority w:val="99"/>
    <w:rsid w:val="00E618BF"/>
    <w:rPr>
      <w:rFonts w:ascii="Arial Unicode MS" w:hAnsi="Arial Unicode MS" w:eastAsia="Arial Unicode M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FooterChar">
    <w:name w:val="Footer Char"/>
    <w:basedOn w:val="DefaultParagraphFont"/>
    <w:link w:val="Footer"/>
    <w:uiPriority w:val="99"/>
    <w:rsid w:val="00E618BF"/>
    <w:rPr>
      <w:rFonts w:ascii="Arial Unicode MS" w:hAnsi="Arial Unicode MS" w:eastAsia="Arial Unicode MS"/>
    </w:rPr>
  </w:style>
  <w:style w:type="paragraph" w:styleId="Heading1">
    <w:name w:val="heading 1"/>
    <w:basedOn w:val="Normal"/>
    <w:next w:val="Normal"/>
    <w:link w:val="Heading1Char"/>
    <w:uiPriority w:val="9"/>
    <w:qFormat/>
    <w:rsid w:val="00FC693F"/>
    <w:pPr>
      <w:keepNext/>
      <w:keepLines/>
      <w:spacing w:before="280" w:after="160"/>
      <w:outlineLvl w:val="0"/>
    </w:pPr>
    <w:rPr>
      <w:rFonts w:ascii="Arial Unicode MS" w:hAnsi="Arial Unicode MS" w:eastAsia="Arial Unicode MS"/>
      <w:b/>
      <w:bCs/>
      <w:color w:val="285B49"/>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Arial Unicode MS" w:hAnsi="Arial Unicode MS" w:eastAsia="Arial Unicode MS"/>
      <w:b/>
      <w:bCs/>
      <w:color w:val="285B49"/>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Arial Unicode MS" w:hAnsi="Arial Unicode MS" w:eastAsia="Arial Unicode MS"/>
      <w:b/>
      <w:bCs/>
      <w:color w:val="285B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Unicode MS" w:hAnsi="Arial Unicode MS" w:eastAsia="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Unicode MS" w:hAnsi="Arial Unicode MS" w:eastAsia="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Unicode MS" w:hAnsi="Arial Unicode MS" w:eastAsia="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Unicode MS" w:hAnsi="Arial Unicode MS" w:eastAsia="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Unicode MS" w:hAnsi="Arial Unicode MS" w:eastAsia="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Unicode MS" w:hAnsi="Arial Unicode MS" w:eastAsia="Arial Unicode MS"/>
      <w:i/>
      <w:iCs/>
      <w:color w:val="404040" w:themeColor="text1" w:themeTint="BF"/>
      <w:sz w:val="20"/>
      <w:szCs w:val="20"/>
    </w:rPr>
  </w:style>
  <w:style w:type="character" w:default="1" w:styleId="DefaultParagraphFont">
    <w:name w:val="Default Paragraph Font"/>
    <w:uiPriority w:val="1"/>
    <w:semiHidden/>
    <w:unhideWhenUsed/>
    <w:rPr>
      <w:rFonts w:ascii="Arial Unicode MS" w:hAnsi="Arial Unicode MS" w:eastAsia="Arial Unicode MS"/>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rPr>
  </w:style>
  <w:style w:type="character" w:customStyle="1" w:styleId="Heading1Char">
    <w:name w:val="Heading 1 Char"/>
    <w:basedOn w:val="DefaultParagraphFont"/>
    <w:link w:val="Heading1"/>
    <w:uiPriority w:val="9"/>
    <w:rsid w:val="00FC693F"/>
    <w:rPr>
      <w:rFonts w:ascii="Arial Unicode MS" w:hAnsi="Arial Unicode MS" w:eastAsia="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Unicode MS" w:hAnsi="Arial Unicode MS" w:eastAsia="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Arial Unicode MS" w:hAnsi="Arial Unicode MS" w:eastAsia="Arial Unicode MS"/>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Arial Unicode MS" w:hAnsi="Arial Unicode MS" w:eastAsia="Arial Unicode MS"/>
      <w:color w:val="000000"/>
      <w:spacing w:val="5"/>
      <w:kern w:val="28"/>
      <w:sz w:val="44"/>
      <w:szCs w:val="52"/>
    </w:rPr>
  </w:style>
  <w:style w:type="character" w:customStyle="1" w:styleId="TitleChar">
    <w:name w:val="Title Char"/>
    <w:basedOn w:val="DefaultParagraphFont"/>
    <w:link w:val="Title"/>
    <w:uiPriority w:val="10"/>
    <w:rsid w:val="00FC693F"/>
    <w:rPr>
      <w:rFonts w:ascii="Arial Unicode MS" w:hAnsi="Arial Unicode MS" w:eastAsia="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Unicode MS" w:hAnsi="Arial Unicode MS" w:eastAsia="Arial Unicode M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Unicode MS" w:hAnsi="Arial Unicode MS" w:eastAsia="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rPr>
  </w:style>
  <w:style w:type="character" w:customStyle="1" w:styleId="BodyTextChar">
    <w:name w:val="Body Text Char"/>
    <w:basedOn w:val="DefaultParagraphFont"/>
    <w:link w:val="BodyText"/>
    <w:uiPriority w:val="99"/>
    <w:rsid w:val="00AA1D8D"/>
    <w:rPr>
      <w:rFonts w:ascii="Arial Unicode MS" w:hAnsi="Arial Unicode MS" w:eastAsia="Arial Unicode MS"/>
    </w:rPr>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rPr>
  </w:style>
  <w:style w:type="character" w:customStyle="1" w:styleId="BodyText2Char">
    <w:name w:val="Body Text 2 Char"/>
    <w:basedOn w:val="DefaultParagraphFont"/>
    <w:link w:val="BodyText2"/>
    <w:uiPriority w:val="99"/>
    <w:rsid w:val="00AA1D8D"/>
    <w:rPr>
      <w:rFonts w:ascii="Arial Unicode MS" w:hAnsi="Arial Unicode MS" w:eastAsia="Arial Unicode MS"/>
    </w:rPr>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sz w:val="16"/>
      <w:szCs w:val="16"/>
    </w:rPr>
  </w:style>
  <w:style w:type="character" w:customStyle="1" w:styleId="BodyText3Char">
    <w:name w:val="Body Text 3 Char"/>
    <w:basedOn w:val="DefaultParagraphFont"/>
    <w:link w:val="BodyText3"/>
    <w:uiPriority w:val="99"/>
    <w:rsid w:val="00AA1D8D"/>
    <w:rPr>
      <w:rFonts w:ascii="Arial Unicode MS" w:hAnsi="Arial Unicode MS" w:eastAsia="Arial Unicode MS"/>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themeColor="text1"/>
    </w:rPr>
  </w:style>
  <w:style w:type="character" w:customStyle="1" w:styleId="QuoteChar">
    <w:name w:val="Quote Char"/>
    <w:basedOn w:val="DefaultParagraphFont"/>
    <w:link w:val="Quote"/>
    <w:uiPriority w:val="29"/>
    <w:rsid w:val="00FC693F"/>
    <w:rPr>
      <w:rFonts w:ascii="Arial Unicode MS" w:hAnsi="Arial Unicode MS" w:eastAsia="Arial Unicode MS"/>
      <w:i/>
      <w:iCs/>
      <w:color w:val="000000" w:themeColor="text1"/>
    </w:rPr>
  </w:style>
  <w:style w:type="character" w:customStyle="1" w:styleId="Heading4Char">
    <w:name w:val="Heading 4 Char"/>
    <w:basedOn w:val="DefaultParagraphFont"/>
    <w:link w:val="Heading4"/>
    <w:uiPriority w:val="9"/>
    <w:semiHidden/>
    <w:rsid w:val="00FC693F"/>
    <w:rPr>
      <w:rFonts w:ascii="Arial Unicode MS" w:hAnsi="Arial Unicode MS" w:eastAsia="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Arial Unicode MS" w:hAnsi="Arial Unicode MS" w:eastAsia="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Arial Unicode MS" w:hAnsi="Arial Unicode MS" w:eastAsia="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Unicode MS" w:hAnsi="Arial Unicode MS" w:eastAsia="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Arial Unicode MS" w:hAnsi="Arial Unicode MS" w:eastAsia="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Unicode MS" w:hAnsi="Arial Unicode MS" w:eastAsia="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pPr>
    <w:rPr>
      <w:rFonts w:ascii="Arial Unicode MS" w:hAnsi="Arial Unicode MS" w:eastAsia="Arial Unicode MS"/>
      <w:b w:val="0"/>
      <w:bCs/>
      <w:color w:val="68736B"/>
      <w:sz w:val="18"/>
      <w:szCs w:val="18"/>
    </w:rPr>
  </w:style>
  <w:style w:type="character" w:styleId="Strong">
    <w:name w:val="Strong"/>
    <w:basedOn w:val="DefaultParagraphFont"/>
    <w:uiPriority w:val="22"/>
    <w:qFormat/>
    <w:rsid w:val="00FC693F"/>
    <w:rPr>
      <w:rFonts w:ascii="Arial Unicode MS" w:hAnsi="Arial Unicode MS" w:eastAsia="Arial Unicode MS"/>
      <w:b/>
      <w:bCs/>
    </w:rPr>
  </w:style>
  <w:style w:type="character" w:styleId="Emphasis">
    <w:name w:val="Emphasis"/>
    <w:basedOn w:val="DefaultParagraphFont"/>
    <w:uiPriority w:val="20"/>
    <w:qFormat/>
    <w:rsid w:val="00FC693F"/>
    <w:rPr>
      <w:rFonts w:ascii="Arial Unicode MS" w:hAnsi="Arial Unicode MS" w:eastAsia="Arial Unicode MS"/>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4F81BD" w:themeColor="accent1"/>
    </w:rPr>
  </w:style>
  <w:style w:type="character" w:customStyle="1" w:styleId="IntenseQuoteChar">
    <w:name w:val="Intense Quote Char"/>
    <w:basedOn w:val="DefaultParagraphFont"/>
    <w:link w:val="IntenseQuote"/>
    <w:uiPriority w:val="30"/>
    <w:rsid w:val="00FC693F"/>
    <w:rPr>
      <w:rFonts w:ascii="Arial Unicode MS" w:hAnsi="Arial Unicode MS" w:eastAsia="Arial Unicode MS"/>
      <w:b/>
      <w:bCs/>
      <w:i/>
      <w:iCs/>
      <w:color w:val="4F81BD" w:themeColor="accent1"/>
    </w:rPr>
  </w:style>
  <w:style w:type="character" w:styleId="SubtleEmphasis">
    <w:name w:val="Subtle Emphasis"/>
    <w:basedOn w:val="DefaultParagraphFont"/>
    <w:uiPriority w:val="19"/>
    <w:qFormat/>
    <w:rsid w:val="00FC693F"/>
    <w:rPr>
      <w:rFonts w:ascii="Arial Unicode MS" w:hAnsi="Arial Unicode MS" w:eastAsia="Arial Unicode MS"/>
      <w:i/>
      <w:iCs/>
      <w:color w:val="808080" w:themeColor="text1" w:themeTint="7F"/>
    </w:rPr>
  </w:style>
  <w:style w:type="character" w:styleId="IntenseEmphasis">
    <w:name w:val="Intense Emphasis"/>
    <w:basedOn w:val="DefaultParagraphFont"/>
    <w:uiPriority w:val="21"/>
    <w:qFormat/>
    <w:rsid w:val="00FC693F"/>
    <w:rPr>
      <w:rFonts w:ascii="Arial Unicode MS" w:hAnsi="Arial Unicode MS" w:eastAsia="Arial Unicode MS"/>
      <w:b/>
      <w:bCs/>
      <w:i/>
      <w:iCs/>
      <w:color w:val="4F81BD" w:themeColor="accent1"/>
    </w:rPr>
  </w:style>
  <w:style w:type="character" w:styleId="SubtleReference">
    <w:name w:val="Subtle Reference"/>
    <w:basedOn w:val="DefaultParagraphFont"/>
    <w:uiPriority w:val="31"/>
    <w:qFormat/>
    <w:rsid w:val="00FC693F"/>
    <w:rPr>
      <w:rFonts w:ascii="Arial Unicode MS" w:hAnsi="Arial Unicode MS" w:eastAsia="Arial Unicode MS"/>
      <w:smallCaps/>
      <w:color w:val="C0504D" w:themeColor="accent2"/>
      <w:u w:val="single"/>
    </w:rPr>
  </w:style>
  <w:style w:type="character" w:styleId="IntenseReference">
    <w:name w:val="Intense Reference"/>
    <w:basedOn w:val="DefaultParagraphFont"/>
    <w:uiPriority w:val="32"/>
    <w:qFormat/>
    <w:rsid w:val="00FC693F"/>
    <w:rPr>
      <w:rFonts w:ascii="Arial Unicode MS" w:hAnsi="Arial Unicode MS" w:eastAsia="Arial Unicode MS"/>
      <w:b/>
      <w:bCs/>
      <w:smallCaps/>
      <w:color w:val="C0504D" w:themeColor="accent2"/>
      <w:spacing w:val="5"/>
      <w:u w:val="single"/>
    </w:rPr>
  </w:style>
  <w:style w:type="character" w:styleId="BookTitle">
    <w:name w:val="Book Title"/>
    <w:basedOn w:val="DefaultParagraphFont"/>
    <w:uiPriority w:val="33"/>
    <w:qFormat/>
    <w:rsid w:val="00FC693F"/>
    <w:rPr>
      <w:rFonts w:ascii="Arial Unicode MS" w:hAnsi="Arial Unicode MS" w:eastAsia="Arial Unicode MS"/>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xxyalpha.cn/articles/semi-equipment-four-giants/" TargetMode="External"/><Relationship Id="rId12" Type="http://schemas.openxmlformats.org/officeDocument/2006/relationships/hyperlink" Target="https://www.sec.gov/Archives/edgar/data/937966/000162828026011377/asml-2025xannualxreportx.htm" TargetMode="External"/><Relationship Id="rId13" Type="http://schemas.openxmlformats.org/officeDocument/2006/relationships/hyperlink" Target="https://www.asml.com/news/press-releases/2026/q1-2026-financial-results" TargetMode="External"/><Relationship Id="rId14" Type="http://schemas.openxmlformats.org/officeDocument/2006/relationships/hyperlink" Target="https://www.sec.gov/Archives/edgar/data/6951/000162828025056742/amat-20251026.htm" TargetMode="External"/><Relationship Id="rId15" Type="http://schemas.openxmlformats.org/officeDocument/2006/relationships/hyperlink" Target="https://ir.appliedmaterials.com/news-releases/news-release-details/applied-materials-announces-second-quarter-2026-results" TargetMode="External"/><Relationship Id="rId16" Type="http://schemas.openxmlformats.org/officeDocument/2006/relationships/hyperlink" Target="https://www.lamresearch.com/products/our-processes/etch/" TargetMode="External"/><Relationship Id="rId17" Type="http://schemas.openxmlformats.org/officeDocument/2006/relationships/hyperlink" Target="https://newsroom.lamresearch.com/inside-the-chip-advanced-packaging?blog=true" TargetMode="External"/><Relationship Id="rId18" Type="http://schemas.openxmlformats.org/officeDocument/2006/relationships/hyperlink" Target="https://newsroom.lamresearch.com/how-deposition-and-etch-are-reshaping-chips-for-the-ai-era?blog=true" TargetMode="External"/><Relationship Id="rId19" Type="http://schemas.openxmlformats.org/officeDocument/2006/relationships/hyperlink" Target="https://newsroom.lamresearch.com/2026-04-22-Lam-Research-Corporation-Reports-Financial-Results-for-the-Quarter-Ended-March-29%2C-2026" TargetMode="External"/><Relationship Id="rId20" Type="http://schemas.openxmlformats.org/officeDocument/2006/relationships/hyperlink" Target="https://www.sec.gov/Archives/edgar/data/319201/000031920125000024/klac-2025063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半导体设备四巨头深度分析：ASML、AMAT、LRCX、KLAC</dc:title>
  <dc:subject>历史研究文章离线阅读版</dc:subject>
  <dc:creator>XXY Alpha</dc:creator>
  <cp:keywords/>
  <dc:description>generated by python-docx</dc:description>
  <cp:lastModifiedBy/>
  <cp:revision>1</cp:revision>
  <dcterms:created xsi:type="dcterms:W3CDTF">2013-12-23T23:15:00Z</dcterms:created>
  <dcterms:modified xsi:type="dcterms:W3CDTF">2013-12-23T23:15:00Z</dcterms:modified>
  <cp:category/>
</cp:coreProperties>
</file>