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存储超级周期跟踪：财报时间线、业绩预期与美光财报前仓位策略</w:t>
      </w:r>
    </w:p>
    <w:p>
      <w:pPr>
        <w:pStyle w:val="Caption"/>
      </w:pPr>
      <w:r>
        <w:t>原文日期 2026-06-19    文件生成 2026-09-12</w:t>
      </w:r>
    </w:p>
    <w:p>
      <w:hyperlink r:id="rId11">
        <w:r>
          <w:rPr>
            <w:color w:val="285B49"/>
            <w:u w:val="single"/>
          </w:rPr>
          <w:t>阅读网站原文</w:t>
        </w:r>
      </w:hyperlink>
    </w:p>
    <w:p>
      <w:pPr>
        <w:pStyle w:val="Caption"/>
      </w:pPr>
      <w:r>
        <w:t>离线阅读版保留原文观点与日期，不代表当前判断。来源链接可点击；网页的最新修订以原文为准。</w:t>
      </w:r>
    </w:p>
    <w:p>
      <w:r>
        <w:rPr>
          <w:b w:val="0"/>
          <w:i w:val="0"/>
        </w:rPr>
        <w:t>更新时间：2026年6月19日</w:t>
      </w:r>
    </w:p>
    <w:p>
      <w:pPr>
        <w:pStyle w:val="Heading1"/>
      </w:pPr>
      <w:r>
        <w:rPr>
          <w:b w:val="0"/>
          <w:i w:val="0"/>
        </w:rPr>
        <w:t>一、事件摘要</w:t>
      </w:r>
    </w:p>
    <w:p>
      <w:r>
        <w:rPr>
          <w:b w:val="0"/>
          <w:i w:val="0"/>
        </w:rPr>
        <w:t>当前存储行业仍处于AI需求、产能结构调整与供给约束共同推动的强上行周期。TrendForce预计，2026年第二季度传统DRAM合同价环比上涨</w:t>
      </w:r>
      <w:r>
        <w:rPr>
          <w:b/>
          <w:i w:val="0"/>
        </w:rPr>
        <w:t>58%—63%</w:t>
      </w:r>
      <w:r>
        <w:rPr>
          <w:b w:val="0"/>
          <w:i w:val="0"/>
        </w:rPr>
        <w:t>，NAND Flash合同价上涨</w:t>
      </w:r>
      <w:r>
        <w:rPr>
          <w:b/>
          <w:i w:val="0"/>
        </w:rPr>
        <w:t>70%—75%</w:t>
      </w:r>
      <w:r>
        <w:rPr>
          <w:b w:val="0"/>
          <w:i w:val="0"/>
        </w:rPr>
        <w:t>；与此同时，厂商继续将产能优先配置给服务器DRAM、HBM和企业级SSD，导致消费级及传统产品供给进一步收紧。PC DRAM价格上行趋势预计还会延续至三、四季度。</w:t>
      </w:r>
    </w:p>
    <w:p>
      <w:r>
        <w:rPr>
          <w:b w:val="0"/>
          <w:i w:val="0"/>
        </w:rPr>
        <w:t>因此，接下来主要存储公司的财报大概率都不会差。市场真正交易的已经不是"业绩是否增长"，而是：</w:t>
      </w:r>
    </w:p>
    <w:p>
      <w:pPr>
        <w:ind w:left="255" w:hanging="198"/>
      </w:pPr>
      <w:r>
        <w:t xml:space="preserve">1. </w:t>
      </w:r>
      <w:r>
        <w:rPr>
          <w:b w:val="0"/>
          <w:i w:val="0"/>
        </w:rPr>
        <w:t>增长幅度能否超过已经大幅上调的一致预期；</w:t>
      </w:r>
    </w:p>
    <w:p>
      <w:pPr>
        <w:ind w:left="255" w:hanging="198"/>
      </w:pPr>
      <w:r>
        <w:t xml:space="preserve">2. </w:t>
      </w:r>
      <w:r>
        <w:rPr>
          <w:b w:val="0"/>
          <w:i w:val="0"/>
        </w:rPr>
        <w:t>管理层能否继续给出更强的下一季度指引；</w:t>
      </w:r>
    </w:p>
    <w:p>
      <w:pPr>
        <w:ind w:left="255" w:hanging="198"/>
      </w:pPr>
      <w:r>
        <w:t xml:space="preserve">3. </w:t>
      </w:r>
      <w:r>
        <w:rPr>
          <w:b w:val="0"/>
          <w:i w:val="0"/>
        </w:rPr>
        <w:t>当前异常高的毛利率能否维持；</w:t>
      </w:r>
    </w:p>
    <w:p>
      <w:pPr>
        <w:ind w:left="255" w:hanging="198"/>
      </w:pPr>
      <w:r>
        <w:t xml:space="preserve">4. </w:t>
      </w:r>
      <w:r>
        <w:rPr>
          <w:b w:val="0"/>
          <w:i w:val="0"/>
        </w:rPr>
        <w:t>资本开支是否开始威胁2027—2028年的供需格局；</w:t>
      </w:r>
    </w:p>
    <w:p>
      <w:pPr>
        <w:ind w:left="255" w:hanging="198"/>
      </w:pPr>
      <w:r>
        <w:t xml:space="preserve">5. </w:t>
      </w:r>
      <w:r>
        <w:rPr>
          <w:b w:val="0"/>
          <w:i w:val="0"/>
        </w:rPr>
        <w:t>AI存储需求能否从HBM继续扩散至服务器DRAM、企业级SSD与近线HDD。</w:t>
      </w:r>
    </w:p>
    <w:p>
      <w:pPr>
        <w:pStyle w:val="Heading1"/>
      </w:pPr>
      <w:r>
        <w:rPr>
          <w:b w:val="0"/>
          <w:i w:val="0"/>
        </w:rPr>
        <w:t>二、核心投资判断</w:t>
      </w:r>
    </w:p>
    <w:p>
      <w:r>
        <w:rPr>
          <w:b w:val="0"/>
          <w:i w:val="0"/>
        </w:rPr>
        <w:t>这轮存储周期与传统消费电子补库存周期不同。其主要驱动力不是PC和手机复苏，而是AI服务器对HBM、DDR5、SOCAMM、企业级SSD和数据归档容量的系统性提升。</w:t>
      </w:r>
    </w:p>
    <w:p>
      <w:r>
        <w:rPr>
          <w:b w:val="0"/>
          <w:i w:val="0"/>
        </w:rPr>
        <w:t>其中：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DRAM/HBM的确定性最高</w:t>
      </w:r>
      <w:r>
        <w:rPr>
          <w:b w:val="0"/>
          <w:i w:val="0"/>
        </w:rPr>
        <w:t>：AI服务器提高单机内存价值量，同时HBM挤占先进制程产能，反过来强化普通DRAM短缺。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NAND的利润弹性最大</w:t>
      </w:r>
      <w:r>
        <w:rPr>
          <w:b w:val="0"/>
          <w:i w:val="0"/>
        </w:rPr>
        <w:t>：企业级SSD需求和前期供给纪律共同推动价格、毛利率和利润快速扩张。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HDD的爆发力相对较弱，但持续性可能更好</w:t>
      </w:r>
      <w:r>
        <w:rPr>
          <w:b w:val="0"/>
          <w:i w:val="0"/>
        </w:rPr>
        <w:t>：AI产生的大量冷数据和长期数据仍需依赖低成本大容量存储。</w:t>
      </w:r>
    </w:p>
    <w:p>
      <w:r>
        <w:rPr>
          <w:b w:val="0"/>
          <w:i w:val="0"/>
        </w:rPr>
        <w:t>当前行业没有明显见顶证据，但股票交易已经从"景气反转"进入"高预期兑现"阶段。越是业绩弹性大的公司，财报后出现"数字很好、股价却下跌"的概率反而越高。</w:t>
      </w:r>
    </w:p>
    <w:p>
      <w:pPr>
        <w:pStyle w:val="Heading1"/>
      </w:pPr>
      <w:r>
        <w:rPr>
          <w:b w:val="0"/>
          <w:i w:val="0"/>
        </w:rPr>
        <w:t>三、未来财报与产业事件时间线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时间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公司/事件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状态</w:t>
            </w:r>
          </w:p>
        </w:tc>
        <w:tc>
          <w:tcPr>
            <w:tcW w:type="dxa" w:w="2353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重点观察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6月24日美股盘后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美光FY2026 Q3财报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已确认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DRAM/NAND ASP、HBM收入、毛利率、Q4指引、资本开支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7月上旬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三星电子Q2初步业绩指引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预计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集团营收、营业利润、存储涨价对利润的贡献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7月下旬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SK海力士Q2财报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预计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HBM3E/HBM4、服务器DRAM、Solidigm企业级SSD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7月底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希捷FY2026 Q4财报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预计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近线HDD、HAMR/Mozaic、云客户订单、自由现金流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7月底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西部数据FY2026 Q4财报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预计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HDD容量出货、单位容量售价、毛利率、股东回报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7月底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三星电子Q2完整财报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预计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DS部门利润、HBM进展、DRAM/NAND ASP、资本开支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8月上旬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铠侠FY2026 Q1财报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预计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NAND价格、稼动率、企业级SSD、全年展望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8月4—6日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FMS 2026存储大会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已确认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企业级SSD、QLC、CXL、AI数据存储、新一代控制器</w:t>
            </w:r>
          </w:p>
        </w:tc>
      </w:tr>
      <w:tr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8月中旬前后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闪迪FY2026 Q4财报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预计</w:t>
            </w:r>
          </w:p>
        </w:tc>
        <w:tc>
          <w:tcPr>
            <w:tcW w:type="dxa" w:w="2353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数据中心SSD、NAND毛利率、长期合同、下一季指引</w:t>
            </w:r>
          </w:p>
        </w:tc>
      </w:tr>
    </w:tbl>
    <w:p>
      <w:pPr>
        <w:spacing w:after="60"/>
      </w:pPr>
    </w:p>
    <w:p>
      <w:r>
        <w:rPr>
          <w:b w:val="0"/>
          <w:i w:val="0"/>
        </w:rPr>
        <w:t>美光已经确认将于6月24日美股收盘后公布财报，并在美东时间16:30举行电话会。铠侠IR日历显示，其一季度财报通常安排在8月；FMS 2026则定于8月4日至6日在圣克拉拉举行。</w:t>
      </w:r>
    </w:p>
    <w:p>
      <w:pPr>
        <w:pStyle w:val="Heading1"/>
      </w:pPr>
      <w:r>
        <w:rPr>
          <w:b w:val="0"/>
          <w:i w:val="0"/>
        </w:rPr>
        <w:t>四、主要公司的业绩预期</w:t>
      </w:r>
    </w:p>
    <w:p>
      <w:pPr>
        <w:pStyle w:val="Heading2"/>
      </w:pPr>
      <w:r>
        <w:rPr>
          <w:b w:val="0"/>
          <w:i w:val="0"/>
        </w:rPr>
        <w:t>1. 美光 MU：全球存储板块最重要的定调财报</w:t>
      </w:r>
    </w:p>
    <w:p>
      <w:r>
        <w:rPr>
          <w:b w:val="0"/>
          <w:i w:val="0"/>
        </w:rPr>
        <w:t>美光上一季度给出的FY2026 Q3指引为：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项目</w:t>
            </w:r>
          </w:p>
        </w:tc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公司指引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营收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335亿美元±7.5亿美元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非GAAP毛利率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约81%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非GAAP EPS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19.15美元±0.40美元</w:t>
            </w:r>
          </w:p>
        </w:tc>
      </w:tr>
    </w:tbl>
    <w:p>
      <w:pPr>
        <w:spacing w:after="60"/>
      </w:pPr>
    </w:p>
    <w:p>
      <w:r>
        <w:rPr>
          <w:b w:val="0"/>
          <w:i w:val="0"/>
        </w:rPr>
        <w:t>这已经是一份非常激进的指引，意味着本次财报不能只做到"增长很好"，而必须继续体现价格、产品组合和利润率的超强趋势。</w:t>
      </w:r>
    </w:p>
    <w:p>
      <w:r>
        <w:rPr>
          <w:b w:val="0"/>
          <w:i w:val="0"/>
        </w:rPr>
        <w:t>市场重点不会只看当季EPS，而会集中观察：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下一季度营收指引是否继续明显上移；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DRAM、NAND价格上涨能否持续到下半年；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HBM与服务器DRAM出货是否继续加速；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企业级SSD能否成为第二增长曲线；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毛利率能否维持在极高水平；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资本开支增加是否超出市场容忍范围。</w:t>
      </w:r>
    </w:p>
    <w:p>
      <w:r>
        <w:rPr>
          <w:b/>
          <w:i w:val="0"/>
        </w:rPr>
        <w:t>判断：业绩确定性高，但预期差风险也很高。</w:t>
      </w:r>
      <w:r>
        <w:rPr>
          <w:b w:val="0"/>
          <w:i w:val="0"/>
        </w:rPr>
        <w:t xml:space="preserve"> 美光大概率会交出一份优秀财报，但优秀并不等于股价一定上涨，市场需要的是继续"beat and raise"。</w:t>
      </w:r>
    </w:p>
    <w:p>
      <w:pPr>
        <w:pStyle w:val="Heading2"/>
      </w:pPr>
      <w:r>
        <w:rPr>
          <w:b w:val="0"/>
          <w:i w:val="0"/>
        </w:rPr>
        <w:t>2. SK海力士：基本面质量最高</w:t>
      </w:r>
    </w:p>
    <w:p>
      <w:r>
        <w:rPr>
          <w:b w:val="0"/>
          <w:i w:val="0"/>
        </w:rPr>
        <w:t>SK海力士2026年第一季度营收达到52.58万亿韩元，营业利润37.61万亿韩元，创历史新高，主要受高附加值AI存储产品推动。</w:t>
      </w:r>
    </w:p>
    <w:p>
      <w:r>
        <w:rPr>
          <w:b w:val="0"/>
          <w:i w:val="0"/>
        </w:rPr>
        <w:t>海力士的核心优势在于：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HBM3E领先地位较稳固；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HBM4技术和客户关系延续性较强；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普通DRAM涨价形成第二利润来源；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Solidigm受益于企业级SSD需求；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产品组合和利润率优于单纯依赖传统存储涨价的厂商。</w:t>
      </w:r>
    </w:p>
    <w:p>
      <w:r>
        <w:rPr>
          <w:b w:val="0"/>
          <w:i w:val="0"/>
        </w:rPr>
        <w:t>UBS此前预计，SK海力士在英伟达Rubin平台HBM4市场中的份额可能达到约70%，说明其HBM领先优势有望跨代延续。</w:t>
      </w:r>
    </w:p>
    <w:p>
      <w:r>
        <w:rPr>
          <w:b/>
          <w:i w:val="0"/>
        </w:rPr>
        <w:t>判断：存储行业中基本面质量和确定性最高，但市场预期同样已经很高。</w:t>
      </w:r>
      <w:r>
        <w:rPr>
          <w:b w:val="0"/>
          <w:i w:val="0"/>
        </w:rPr>
        <w:t xml:space="preserve"> 财报若只是延续强劲，而没有进一步强化HBM4份额和长期供需，股价反应未必与利润增速成正比。</w:t>
      </w:r>
    </w:p>
    <w:p>
      <w:pPr>
        <w:pStyle w:val="Heading2"/>
      </w:pPr>
      <w:r>
        <w:rPr>
          <w:b w:val="0"/>
          <w:i w:val="0"/>
        </w:rPr>
        <w:t>3. 三星电子：传统DRAM利润弹性最大之一</w:t>
      </w:r>
    </w:p>
    <w:p>
      <w:r>
        <w:rPr>
          <w:b w:val="0"/>
          <w:i w:val="0"/>
        </w:rPr>
        <w:t>三星2026年第一季度营收133.9万亿韩元，营业利润57.2万亿韩元，均创季度纪录；其中DS半导体部门营收81.7万亿韩元，营业利润53.7万亿韩元，几乎贡献了集团全部利润增量。三星称存储业务受益于AI需求、有限供给和ASP上涨，并已开始销售HBM4及SOCAMM2产品。</w:t>
      </w:r>
    </w:p>
    <w:p>
      <w:r>
        <w:rPr>
          <w:b w:val="0"/>
          <w:i w:val="0"/>
        </w:rPr>
        <w:t>三星的优势是：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DRAM和NAND体量最大；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对传统存储涨价的绝对利润弹性极强；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产品覆盖HBM、服务器DRAM、消费DRAM、NAND和企业级SSD；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若HBM4竞争力恢复，估值还存在进一步重估空间。</w:t>
      </w:r>
    </w:p>
    <w:p>
      <w:r>
        <w:rPr>
          <w:b w:val="0"/>
          <w:i w:val="0"/>
        </w:rPr>
        <w:t>但三星并非纯存储公司，手机、显示、晶圆代工和消费电子业务可能抵消部分存储利润。尤其是在存储价格快速上涨时，三星自身的终端业务也会面临成本压力。</w:t>
      </w:r>
    </w:p>
    <w:p>
      <w:r>
        <w:rPr>
          <w:b/>
          <w:i w:val="0"/>
        </w:rPr>
        <w:t>判断：三星是传统DRAM超级周期的重要受益者，但股价要进一步重估，不能只依赖涨价，还需要证明HBM份额持续恢复。</w:t>
      </w:r>
    </w:p>
    <w:p>
      <w:pPr>
        <w:pStyle w:val="Heading2"/>
      </w:pPr>
      <w:r>
        <w:rPr>
          <w:b w:val="0"/>
          <w:i w:val="0"/>
        </w:rPr>
        <w:t>4. 闪迪 SNDK：NAND利润弹性最强，但交易门槛最高</w:t>
      </w:r>
    </w:p>
    <w:p>
      <w:r>
        <w:rPr>
          <w:b w:val="0"/>
          <w:i w:val="0"/>
        </w:rPr>
        <w:t>闪迪FY2026 Q3营收59.5亿美元，环比增长97%；非GAAP毛利率78.4%，非GAAP EPS为23.41美元，数据中心收入环比增长233%。公司对下一季度给出的指引为：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项目</w:t>
            </w:r>
          </w:p>
        </w:tc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公司指引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营收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77.5亿—82.5亿美元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非GAAP毛利率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79%—81%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非GAAP EPS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30—33美元</w:t>
            </w:r>
          </w:p>
        </w:tc>
      </w:tr>
    </w:tbl>
    <w:p>
      <w:pPr>
        <w:spacing w:after="60"/>
      </w:pPr>
    </w:p>
    <w:p>
      <w:r>
        <w:rPr>
          <w:b w:val="0"/>
          <w:i w:val="0"/>
        </w:rPr>
        <w:t>公司同时签署多份长期客户协议，希望通过多年期采购承诺降低NAND业务传统的高波动属性。</w:t>
      </w:r>
    </w:p>
    <w:p>
      <w:r>
        <w:rPr>
          <w:b w:val="0"/>
          <w:i w:val="0"/>
        </w:rPr>
        <w:t>闪迪的核心逻辑已经从传统消费闪存转向：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云端与数据中心SSD；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高价值客户占比提升；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NAND ASP快速上涨；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与客户签署长期供货及资金承诺；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资产负债表和现金流改善。</w:t>
      </w:r>
    </w:p>
    <w:p>
      <w:r>
        <w:rPr>
          <w:b/>
          <w:i w:val="0"/>
        </w:rPr>
        <w:t>判断：利润爆发力极强，但也是最容易出现"财报很好、股价不涨"的公司之一。</w:t>
      </w:r>
      <w:r>
        <w:rPr>
          <w:b w:val="0"/>
          <w:i w:val="0"/>
        </w:rPr>
        <w:t xml:space="preserve"> 当毛利率接近80%时，市场会开始质疑这一盈利水平的可持续性。</w:t>
      </w:r>
    </w:p>
    <w:p>
      <w:pPr>
        <w:pStyle w:val="Heading2"/>
      </w:pPr>
      <w:r>
        <w:rPr>
          <w:b w:val="0"/>
          <w:i w:val="0"/>
        </w:rPr>
        <w:t>5. 铠侠 Kioxia：NAND制造端最纯的价格弹性</w:t>
      </w:r>
    </w:p>
    <w:p>
      <w:r>
        <w:rPr>
          <w:b w:val="0"/>
          <w:i w:val="0"/>
        </w:rPr>
        <w:t>铠侠是全球主要NAND制造商之一，与闪迪共享日本合资产能，因此两家公司必须结合观察：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铠侠更能反映晶圆制造、良率、稼动率和成本；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闪迪更能反映销售渠道、客户结构和数据中心SSD溢价。</w:t>
      </w:r>
    </w:p>
    <w:p>
      <w:r>
        <w:rPr>
          <w:b w:val="0"/>
          <w:i w:val="0"/>
        </w:rPr>
        <w:t>铠侠已于2026年5月15日发布上一财年结果，并于6月2日举行Investor Day；其IR日历显示，一季度财报通常在8月公布。</w:t>
      </w:r>
    </w:p>
    <w:p>
      <w:r>
        <w:rPr>
          <w:b w:val="0"/>
          <w:i w:val="0"/>
        </w:rPr>
        <w:t>在NAND合同价预计二季度上涨70%—75%的背景下，铠侠仍是利润弹性最大的纯周期标的之一。</w:t>
      </w:r>
    </w:p>
    <w:p>
      <w:r>
        <w:rPr>
          <w:b/>
          <w:i w:val="0"/>
        </w:rPr>
        <w:t>判断：盈利弹性极高，但风险也集中在NAND价格增速放缓、客户需求破坏和未来产能恢复。</w:t>
      </w:r>
    </w:p>
    <w:p>
      <w:pPr>
        <w:pStyle w:val="Heading2"/>
      </w:pPr>
      <w:r>
        <w:rPr>
          <w:b w:val="0"/>
          <w:i w:val="0"/>
        </w:rPr>
        <w:t>6. 希捷 STX：HDD中利润率和技术弹性更强</w:t>
      </w:r>
    </w:p>
    <w:p>
      <w:r>
        <w:rPr>
          <w:b w:val="0"/>
          <w:i w:val="0"/>
        </w:rPr>
        <w:t>希捷FY2026 Q3实现营收31.12亿美元，非GAAP毛利率47%，非GAAP EPS 4.10美元，自由现金流9.53亿美元。公司对下一季度指引为营收34.5亿美元±1亿美元、非GAAP EPS 5.00美元±0.20美元。</w:t>
      </w:r>
    </w:p>
    <w:p>
      <w:r>
        <w:rPr>
          <w:b w:val="0"/>
          <w:i w:val="0"/>
        </w:rPr>
        <w:t>希捷的主要催化包括：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HAMR/Mozaic产品爬坡；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单盘容量持续提升；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云厂商近线HDD需求；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毛利率和自由现金流改善；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单位EB资本效率提升。</w:t>
      </w:r>
    </w:p>
    <w:p>
      <w:r>
        <w:rPr>
          <w:b/>
          <w:i w:val="0"/>
        </w:rPr>
        <w:t>判断：业绩爆发力不如NAND，但利润质量和持续性更好。</w:t>
      </w:r>
    </w:p>
    <w:p>
      <w:pPr>
        <w:pStyle w:val="Heading2"/>
      </w:pPr>
      <w:r>
        <w:rPr>
          <w:b w:val="0"/>
          <w:i w:val="0"/>
        </w:rPr>
        <w:t>7. 西部数据 WDC：HDD周期与现金流逻辑</w:t>
      </w:r>
    </w:p>
    <w:p>
      <w:r>
        <w:rPr>
          <w:b w:val="0"/>
          <w:i w:val="0"/>
        </w:rPr>
        <w:t>西部数据在分拆闪迪后，已经主要是一家HDD公司。FY2026 Q3营收33.37亿美元，同比增长45%；非GAAP毛利率50.5%，非GAAP EPS 2.72美元，自由现金流9.78亿美元。公司对下一季度指引为营收36.5亿美元±1亿美元、毛利率51%—52%、非GAAP EPS 3.25美元±0.15美元。</w:t>
      </w:r>
    </w:p>
    <w:p>
      <w:r>
        <w:rPr>
          <w:b w:val="0"/>
          <w:i w:val="0"/>
        </w:rPr>
        <w:t>其核心投资逻辑是：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AI训练、推理和Agent应用创造大量长期数据；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HDD仍是大规模冷数据存储的最低成本方案；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行业供给纪律较过去周期明显改善；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毛利率、现金流和股东回报持续提升。</w:t>
      </w:r>
    </w:p>
    <w:p>
      <w:r>
        <w:rPr>
          <w:b/>
          <w:i w:val="0"/>
        </w:rPr>
        <w:t>判断：弹性略低于希捷，但现金流稳定性和股东回报更突出。</w:t>
      </w:r>
    </w:p>
    <w:p>
      <w:pPr>
        <w:pStyle w:val="Heading1"/>
      </w:pPr>
      <w:r>
        <w:rPr>
          <w:b w:val="0"/>
          <w:i w:val="0"/>
        </w:rPr>
        <w:t>五、公司预期排序</w:t>
      </w:r>
    </w:p>
    <w:p>
      <w:pPr>
        <w:pStyle w:val="Heading2"/>
      </w:pPr>
      <w:r>
        <w:rPr>
          <w:b w:val="0"/>
          <w:i w:val="0"/>
        </w:rPr>
        <w:t>按基本面确定性</w:t>
      </w:r>
    </w:p>
    <w:p>
      <w:r>
        <w:rPr>
          <w:b/>
          <w:i w:val="0"/>
        </w:rPr>
        <w:t>SK海力士 &gt; 美光 ≈ 三星 &gt; 闪迪 ≈ 铠侠 &gt; 希捷 &gt; 西部数据</w:t>
      </w:r>
    </w:p>
    <w:p>
      <w:pPr>
        <w:pStyle w:val="Heading2"/>
      </w:pPr>
      <w:r>
        <w:rPr>
          <w:b w:val="0"/>
          <w:i w:val="0"/>
        </w:rPr>
        <w:t>按利润弹性</w:t>
      </w:r>
    </w:p>
    <w:p>
      <w:r>
        <w:rPr>
          <w:b/>
          <w:i w:val="0"/>
        </w:rPr>
        <w:t>闪迪 ≈ 铠侠 &gt; SK海力士 &gt; 美光 &gt; 三星 &gt; 希捷 &gt; 西部数据</w:t>
      </w:r>
    </w:p>
    <w:p>
      <w:pPr>
        <w:pStyle w:val="Heading2"/>
      </w:pPr>
      <w:r>
        <w:rPr>
          <w:b w:val="0"/>
          <w:i w:val="0"/>
        </w:rPr>
        <w:t>按"好业绩但股价下跌"的风险</w:t>
      </w:r>
    </w:p>
    <w:p>
      <w:r>
        <w:rPr>
          <w:b/>
          <w:i w:val="0"/>
        </w:rPr>
        <w:t>闪迪 &gt; 铠侠 &gt; 美光 &gt; 三星 &gt; SK海力士 &gt; 希捷 &gt; 西部数据</w:t>
      </w:r>
    </w:p>
    <w:p>
      <w:r>
        <w:rPr>
          <w:b w:val="0"/>
          <w:i w:val="0"/>
        </w:rPr>
        <w:t>当前市场已经进入"必须持续超预期并上调指引"的阶段。业绩数字越夸张，反而越要警惕预期已经提前透支。</w:t>
      </w:r>
    </w:p>
    <w:p>
      <w:pPr>
        <w:pStyle w:val="Heading1"/>
      </w:pPr>
      <w:r>
        <w:rPr>
          <w:b w:val="0"/>
          <w:i w:val="0"/>
        </w:rPr>
        <w:t>六、当前存储持仓穿透分析</w:t>
      </w:r>
    </w:p>
    <w:p>
      <w:r>
        <w:rPr>
          <w:b w:val="0"/>
          <w:i w:val="0"/>
        </w:rPr>
        <w:t>当前实际持仓修正为：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标的</w:t>
            </w:r>
          </w:p>
        </w:tc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资金仓位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Roundhill Memory ETF（DRAM）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16%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美光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5%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两倍做多三星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8%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韩国大盘指数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6%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名义资金占比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35%</w:t>
            </w:r>
          </w:p>
        </w:tc>
      </w:tr>
    </w:tbl>
    <w:p>
      <w:pPr>
        <w:spacing w:after="60"/>
      </w:pPr>
    </w:p>
    <w:p>
      <w:r>
        <w:rPr>
          <w:b w:val="0"/>
          <w:i w:val="0"/>
        </w:rPr>
        <w:t>DRAM ETF披露的主要权重为：美光28.17%、SK海力士25.51%、三星18.60%、铠侠7.95%。该权重为基金页面披露时点数据，之后可能动态变化。</w:t>
      </w:r>
    </w:p>
    <w:p>
      <w:r>
        <w:rPr>
          <w:b w:val="0"/>
          <w:i w:val="0"/>
        </w:rPr>
        <w:t>按这一权重穿透，16%的DRAM ETF约对应：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公司</w:t>
            </w:r>
          </w:p>
        </w:tc>
        <w:tc>
          <w:tcPr>
            <w:tcW w:type="dxa" w:w="4706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DRAM ETF间接仓位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美光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约4.51%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SK海力士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约4.08%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三星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约2.98%</w:t>
            </w:r>
          </w:p>
        </w:tc>
      </w:tr>
      <w:tr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铠侠</w:t>
            </w:r>
          </w:p>
        </w:tc>
        <w:tc>
          <w:tcPr>
            <w:tcW w:type="dxa" w:w="4706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约1.27%</w:t>
            </w:r>
          </w:p>
        </w:tc>
      </w:tr>
    </w:tbl>
    <w:p>
      <w:pPr>
        <w:spacing w:after="60"/>
      </w:pPr>
    </w:p>
    <w:p>
      <w:r>
        <w:rPr>
          <w:b w:val="0"/>
          <w:i w:val="0"/>
        </w:rPr>
        <w:t>加上5%的美光正股，你对美光的直接加间接仓位约为：</w:t>
      </w:r>
    </w:p>
    <w:p>
      <w:r>
        <w:rPr>
          <w:b/>
          <w:i w:val="0"/>
        </w:rPr>
        <w:t>5% + 4.51% = 9.51%</w:t>
      </w:r>
    </w:p>
    <w:p>
      <w:r>
        <w:rPr>
          <w:b w:val="0"/>
          <w:i w:val="0"/>
        </w:rPr>
        <w:t>也就是说，美光财报对你组合的影响并不只是5%，而是接近</w:t>
      </w:r>
      <w:r>
        <w:rPr>
          <w:b/>
          <w:i w:val="0"/>
        </w:rPr>
        <w:t>9.5%的直接和间接暴露</w:t>
      </w:r>
      <w:r>
        <w:rPr>
          <w:b w:val="0"/>
          <w:i w:val="0"/>
        </w:rPr>
        <w:t>。</w:t>
      </w:r>
    </w:p>
    <w:p>
      <w:r>
        <w:rPr>
          <w:b w:val="0"/>
          <w:i w:val="0"/>
        </w:rPr>
        <w:t>与此同时，8%的两倍做多三星产品，对应约</w:t>
      </w:r>
      <w:r>
        <w:rPr>
          <w:b/>
          <w:i w:val="0"/>
        </w:rPr>
        <w:t>16%的三星单日方向敞口</w:t>
      </w:r>
      <w:r>
        <w:rPr>
          <w:b w:val="0"/>
          <w:i w:val="0"/>
        </w:rPr>
        <w:t>。再加上DRAM ETF中的三星，以及韩国指数中潜在的三星和SK海力士权重，你实际上通过多个产品重复押注同一个存储因子。</w:t>
      </w:r>
    </w:p>
    <w:p>
      <w:r>
        <w:rPr>
          <w:b w:val="0"/>
          <w:i w:val="0"/>
        </w:rPr>
        <w:t>若韩国指数中三星和海力士合计权重约为40%—45%，6%的韩国指数还会额外贡献约2.4%—2.7%的存储敞口。由于未明确具体指数或ETF代码，这部分只能作区间估算。</w:t>
      </w:r>
    </w:p>
    <w:p>
      <w:r>
        <w:rPr>
          <w:b w:val="0"/>
          <w:i w:val="0"/>
        </w:rPr>
        <w:t>因此：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名义资金仓位：</w:t>
      </w:r>
      <w:r>
        <w:rPr>
          <w:b/>
          <w:i w:val="0"/>
        </w:rPr>
        <w:t>35%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按三星两倍杠杆和韩国指数穿透后的有效存储方向敞口：</w:t>
      </w:r>
      <w:r>
        <w:rPr>
          <w:b/>
          <w:i w:val="0"/>
        </w:rPr>
        <w:t>约39%—40%</w:t>
      </w:r>
    </w:p>
    <w:p>
      <w:r>
        <w:rPr>
          <w:b w:val="0"/>
          <w:i w:val="0"/>
        </w:rPr>
        <w:t>这里的"有效敞口"指方向敏感度，并不等同于实际投入资金。</w:t>
      </w:r>
    </w:p>
    <w:p>
      <w:pPr>
        <w:pStyle w:val="Heading2"/>
      </w:pPr>
      <w:r>
        <w:rPr>
          <w:b w:val="0"/>
          <w:i w:val="0"/>
        </w:rPr>
        <w:t>核心问题</w:t>
      </w:r>
    </w:p>
    <w:p>
      <w:r>
        <w:rPr>
          <w:b w:val="0"/>
          <w:i w:val="0"/>
        </w:rPr>
        <w:t>当前组合不是简单持有四个不同资产，而是：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DRAM ETF持有美光、海力士、三星、铠侠；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另有5%美光正股；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另有8%两倍三星；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韩国指数再次包含三星和海力士。</w:t>
      </w:r>
    </w:p>
    <w:p>
      <w:r>
        <w:rPr>
          <w:b w:val="0"/>
          <w:i w:val="0"/>
        </w:rPr>
        <w:t>因此，组合的主要风险是：</w:t>
      </w:r>
    </w:p>
    <w:p>
      <w:r>
        <w:rPr>
          <w:b/>
          <w:i w:val="0"/>
        </w:rPr>
        <w:t>高相关性 + 重复持仓 + 两倍杠杆 + 财报隔夜跳空。</w:t>
      </w:r>
    </w:p>
    <w:p>
      <w:pPr>
        <w:pStyle w:val="Heading1"/>
      </w:pPr>
      <w:r>
        <w:rPr>
          <w:b w:val="0"/>
          <w:i w:val="0"/>
        </w:rPr>
        <w:t>七、美光财报前的仓位策略</w:t>
      </w:r>
    </w:p>
    <w:p>
      <w:pPr>
        <w:pStyle w:val="Heading2"/>
      </w:pPr>
      <w:r>
        <w:rPr>
          <w:b w:val="0"/>
          <w:i w:val="0"/>
        </w:rPr>
        <w:t>核心结论</w:t>
      </w:r>
    </w:p>
    <w:p>
      <w:r>
        <w:rPr>
          <w:b w:val="0"/>
          <w:i w:val="0"/>
        </w:rPr>
        <w:t>在DRAM仓位修正为16%后，之前"不动观察"的方案不再合适。</w:t>
      </w:r>
    </w:p>
    <w:p>
      <w:r>
        <w:rPr>
          <w:b/>
          <w:i w:val="0"/>
        </w:rPr>
        <w:t>美光财报前不建议加仓，也不建议完全清仓；应主动降低重复杠杆和组合级事件风险。</w:t>
      </w:r>
    </w:p>
    <w:p>
      <w:r>
        <w:rPr>
          <w:b w:val="0"/>
          <w:i w:val="0"/>
        </w:rPr>
        <w:t>建议调整为：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/>
        </w:trPr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标的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当前仓位</w:t>
            </w:r>
          </w:p>
        </w:tc>
        <w:tc>
          <w:tcPr>
            <w:tcW w:type="dxa" w:w="3137"/>
            <w:shd w:fill="E9EEE6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财报前建议区间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DRAM ETF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16%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10%—12%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美光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5%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保留5%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两倍做多三星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8%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降至4%—5%</w:t>
            </w:r>
          </w:p>
        </w:tc>
      </w:tr>
      <w:tr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韩国大盘指数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 w:val="0"/>
                <w:i w:val="0"/>
                <w:sz w:val="20"/>
              </w:rPr>
              <w:t>6%</w:t>
            </w:r>
          </w:p>
        </w:tc>
        <w:tc>
          <w:tcPr>
            <w:tcW w:type="dxa" w:w="3137"/>
          </w:tcPr>
          <w:p>
            <w:pPr>
              <w:spacing w:after="80" w:before="80" w:line="280" w:lineRule="exact"/>
            </w:pPr>
            <w:r>
              <w:rPr>
                <w:b/>
                <w:i w:val="0"/>
                <w:sz w:val="20"/>
              </w:rPr>
              <w:t>保留6%</w:t>
            </w:r>
          </w:p>
        </w:tc>
      </w:tr>
    </w:tbl>
    <w:p>
      <w:pPr>
        <w:spacing w:after="60"/>
      </w:pPr>
    </w:p>
    <w:p>
      <w:r>
        <w:rPr>
          <w:b w:val="0"/>
          <w:i w:val="0"/>
        </w:rPr>
        <w:t>更明确的基准版本是：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DRAM ETF：11%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美光：5%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两倍三星：4%</w:t>
      </w:r>
    </w:p>
    <w:p>
      <w:pPr>
        <w:ind w:left="255" w:hanging="198"/>
      </w:pPr>
      <w:r>
        <w:t xml:space="preserve">• </w:t>
      </w:r>
      <w:r>
        <w:rPr>
          <w:b/>
          <w:i w:val="0"/>
        </w:rPr>
        <w:t>韩国指数：6%</w:t>
      </w:r>
    </w:p>
    <w:p>
      <w:r>
        <w:rPr>
          <w:b w:val="0"/>
          <w:i w:val="0"/>
        </w:rPr>
        <w:t>调整后名义仓位从35%降至</w:t>
      </w:r>
      <w:r>
        <w:rPr>
          <w:b/>
          <w:i w:val="0"/>
        </w:rPr>
        <w:t>26%</w:t>
      </w:r>
      <w:r>
        <w:rPr>
          <w:b w:val="0"/>
          <w:i w:val="0"/>
        </w:rPr>
        <w:t>，释放约</w:t>
      </w:r>
      <w:r>
        <w:rPr>
          <w:b/>
          <w:i w:val="0"/>
        </w:rPr>
        <w:t>9%现金</w:t>
      </w:r>
      <w:r>
        <w:rPr>
          <w:b w:val="0"/>
          <w:i w:val="0"/>
        </w:rPr>
        <w:t>；有效存储方向敞口大约降至</w:t>
      </w:r>
      <w:r>
        <w:rPr>
          <w:b/>
          <w:i w:val="0"/>
        </w:rPr>
        <w:t>26%—27%</w:t>
      </w:r>
      <w:r>
        <w:rPr>
          <w:b w:val="0"/>
          <w:i w:val="0"/>
        </w:rPr>
        <w:t>。这仍然是明确重仓看多存储，但不再让单次美光财报演变成组合级风险。</w:t>
      </w:r>
    </w:p>
    <w:p>
      <w:pPr>
        <w:pStyle w:val="Heading1"/>
      </w:pPr>
      <w:r>
        <w:rPr>
          <w:b w:val="0"/>
          <w:i w:val="0"/>
        </w:rPr>
        <w:t>八、为什么主要减DRAM ETF和三星两倍，而不是美光</w:t>
      </w:r>
    </w:p>
    <w:p>
      <w:pPr>
        <w:pStyle w:val="Heading2"/>
      </w:pPr>
      <w:r>
        <w:rPr>
          <w:b w:val="0"/>
          <w:i w:val="0"/>
        </w:rPr>
        <w:t>1. 美光5%应保留核心仓</w:t>
      </w:r>
    </w:p>
    <w:p>
      <w:r>
        <w:rPr>
          <w:b w:val="0"/>
          <w:i w:val="0"/>
        </w:rPr>
        <w:t>虽然美光是本次财报的直接风险源，但5%正股仓本身并不算过重。即使财报后下跌15%，对组合的直接损失约为0.75个百分点。</w:t>
      </w:r>
    </w:p>
    <w:p>
      <w:r>
        <w:rPr>
          <w:b w:val="0"/>
          <w:i w:val="0"/>
        </w:rPr>
        <w:t>而且，美光是全球存储周期最重要的领先财报之一。如果财报强于预期并继续上调指引，完全减掉美光会削弱组合最直接的受益敞口。</w:t>
      </w:r>
    </w:p>
    <w:p>
      <w:pPr>
        <w:pStyle w:val="Heading2"/>
      </w:pPr>
      <w:r>
        <w:rPr>
          <w:b w:val="0"/>
          <w:i w:val="0"/>
        </w:rPr>
        <w:t>2. DRAM ETF已经隐含较多美光</w:t>
      </w:r>
    </w:p>
    <w:p>
      <w:r>
        <w:rPr>
          <w:b w:val="0"/>
          <w:i w:val="0"/>
        </w:rPr>
        <w:t>16%的DRAM ETF中约有4.5%美光，因此你实际对美光的暴露已经接近9.5%。把DRAM从16%降到11%，不会破坏存储主线，但能显著减少财报相关性。</w:t>
      </w:r>
    </w:p>
    <w:p>
      <w:pPr>
        <w:pStyle w:val="Heading2"/>
      </w:pPr>
      <w:r>
        <w:rPr>
          <w:b w:val="0"/>
          <w:i w:val="0"/>
        </w:rPr>
        <w:t>3. 三星两倍是组合中风险最高的一层</w:t>
      </w:r>
    </w:p>
    <w:p>
      <w:r>
        <w:rPr>
          <w:b w:val="0"/>
          <w:i w:val="0"/>
        </w:rPr>
        <w:t>美光财报在美股盘后公布，次日韩国市场可能直接跳空反应。两倍三星会放大这种隔夜冲击，同时每日重置机制还会带来路径依赖和波动损耗。</w:t>
      </w:r>
    </w:p>
    <w:p>
      <w:r>
        <w:rPr>
          <w:b w:val="0"/>
          <w:i w:val="0"/>
        </w:rPr>
        <w:t>更重要的是，三星已经同时存在于：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DRAM ETF；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两倍三星产品；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韩国大盘指数。</w:t>
      </w:r>
    </w:p>
    <w:p>
      <w:r>
        <w:rPr>
          <w:b w:val="0"/>
          <w:i w:val="0"/>
        </w:rPr>
        <w:t>因此，减三星两倍并不等于放弃三星，而是剔除重复杠杆。</w:t>
      </w:r>
    </w:p>
    <w:p>
      <w:pPr>
        <w:pStyle w:val="Heading1"/>
      </w:pPr>
      <w:r>
        <w:rPr>
          <w:b w:val="0"/>
          <w:i w:val="0"/>
        </w:rPr>
        <w:t>九、具体执行方案</w:t>
      </w:r>
    </w:p>
    <w:p>
      <w:pPr>
        <w:pStyle w:val="Heading2"/>
      </w:pPr>
      <w:r>
        <w:rPr>
          <w:b w:val="0"/>
          <w:i w:val="0"/>
        </w:rPr>
        <w:t>情形一：财报前存储板块继续上涨</w:t>
      </w:r>
    </w:p>
    <w:p>
      <w:r>
        <w:rPr>
          <w:b w:val="0"/>
          <w:i w:val="0"/>
        </w:rPr>
        <w:t>若6月22日至24日，美光和存储板块继续明显上涨：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DRAM ETF从16%减至</w:t>
      </w:r>
      <w:r>
        <w:rPr>
          <w:b/>
          <w:i w:val="0"/>
        </w:rPr>
        <w:t>10%—11%</w:t>
      </w:r>
      <w:r>
        <w:rPr>
          <w:b w:val="0"/>
          <w:i w:val="0"/>
        </w:rPr>
        <w:t>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两倍三星从8%减至</w:t>
      </w:r>
      <w:r>
        <w:rPr>
          <w:b/>
          <w:i w:val="0"/>
        </w:rPr>
        <w:t>4%</w:t>
      </w:r>
      <w:r>
        <w:rPr>
          <w:b w:val="0"/>
          <w:i w:val="0"/>
        </w:rPr>
        <w:t>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美光5%不动；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韩国指数6%不动。</w:t>
      </w:r>
    </w:p>
    <w:p>
      <w:r>
        <w:rPr>
          <w:b w:val="0"/>
          <w:i w:val="0"/>
        </w:rPr>
        <w:t>这是最应严格执行减仓的情形，因为股价越接近财报前高位，预期差风险越大。</w:t>
      </w:r>
    </w:p>
    <w:p>
      <w:pPr>
        <w:pStyle w:val="Heading2"/>
      </w:pPr>
      <w:r>
        <w:rPr>
          <w:b w:val="0"/>
          <w:i w:val="0"/>
        </w:rPr>
        <w:t>情形二：财报前先回撤5%—8%</w:t>
      </w:r>
    </w:p>
    <w:p>
      <w:r>
        <w:rPr>
          <w:b w:val="0"/>
          <w:i w:val="0"/>
        </w:rPr>
        <w:t>若存储板块在财报前已经明显回撤：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DRAM ETF只减至</w:t>
      </w:r>
      <w:r>
        <w:rPr>
          <w:b/>
          <w:i w:val="0"/>
        </w:rPr>
        <w:t>12%</w:t>
      </w:r>
      <w:r>
        <w:rPr>
          <w:b w:val="0"/>
          <w:i w:val="0"/>
        </w:rPr>
        <w:t>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两倍三星减至</w:t>
      </w:r>
      <w:r>
        <w:rPr>
          <w:b/>
          <w:i w:val="0"/>
        </w:rPr>
        <w:t>5%</w:t>
      </w:r>
      <w:r>
        <w:rPr>
          <w:b w:val="0"/>
          <w:i w:val="0"/>
        </w:rPr>
        <w:t>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美光和韩国指数不动。</w:t>
      </w:r>
    </w:p>
    <w:p>
      <w:r>
        <w:rPr>
          <w:b w:val="0"/>
          <w:i w:val="0"/>
        </w:rPr>
        <w:t>不应在连续下跌后机械减到最低仓位，但仍不建议逆势加仓。</w:t>
      </w:r>
    </w:p>
    <w:p>
      <w:pPr>
        <w:pStyle w:val="Heading2"/>
      </w:pPr>
      <w:r>
        <w:rPr>
          <w:b w:val="0"/>
          <w:i w:val="0"/>
        </w:rPr>
        <w:t>情形三：财报前出现行业级利空</w:t>
      </w:r>
    </w:p>
    <w:p>
      <w:r>
        <w:rPr>
          <w:b w:val="0"/>
          <w:i w:val="0"/>
        </w:rPr>
        <w:t>若出现价格数据转弱、客户削减订单、资本开支大幅增加或AI服务器需求下修：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DRAM ETF降至10%以下；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两倍三星降至3%—4%；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美光保留小核心仓；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等待财报确认后再评估。</w:t>
      </w:r>
    </w:p>
    <w:p>
      <w:pPr>
        <w:pStyle w:val="Heading1"/>
      </w:pPr>
      <w:r>
        <w:rPr>
          <w:b w:val="0"/>
          <w:i w:val="0"/>
        </w:rPr>
        <w:t>十、财报后的三种情景</w:t>
      </w:r>
    </w:p>
    <w:p>
      <w:pPr>
        <w:pStyle w:val="Heading2"/>
      </w:pPr>
      <w:r>
        <w:rPr>
          <w:b w:val="0"/>
          <w:i w:val="0"/>
        </w:rPr>
        <w:t>情景一：强超预期并大幅上调指引</w:t>
      </w:r>
    </w:p>
    <w:p>
      <w:r>
        <w:rPr>
          <w:b w:val="0"/>
          <w:i w:val="0"/>
        </w:rPr>
        <w:t>特征：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当季营收接近或超过公司指引上沿；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下一季度营收明显高于市场预期；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毛利率继续维持高位；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HBM、服务器DRAM和企业级SSD需求继续强化；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资本开支虽增加，但没有出现失控式扩张。</w:t>
      </w:r>
    </w:p>
    <w:p>
      <w:r>
        <w:rPr>
          <w:b w:val="0"/>
          <w:i w:val="0"/>
        </w:rPr>
        <w:t>操作：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不追盘后价格；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等待正式开盘后30—60分钟；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若高开缺口守住，优先加回</w:t>
      </w:r>
      <w:r>
        <w:rPr>
          <w:b/>
          <w:i w:val="0"/>
        </w:rPr>
        <w:t>2%—3%的DRAM ETF</w:t>
      </w:r>
      <w:r>
        <w:rPr>
          <w:b w:val="0"/>
          <w:i w:val="0"/>
        </w:rPr>
        <w:t>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不优先加三星两倍，先观察韩国市场自身确认。</w:t>
      </w:r>
    </w:p>
    <w:p>
      <w:pPr>
        <w:pStyle w:val="Heading2"/>
      </w:pPr>
      <w:r>
        <w:rPr>
          <w:b w:val="0"/>
          <w:i w:val="0"/>
        </w:rPr>
        <w:t>情景二：业绩很好，但指引只符合高预期</w:t>
      </w:r>
    </w:p>
    <w:p>
      <w:r>
        <w:rPr>
          <w:b w:val="0"/>
          <w:i w:val="0"/>
        </w:rPr>
        <w:t>这是最容易出现"sell the news"的情形。</w:t>
      </w:r>
    </w:p>
    <w:p>
      <w:r>
        <w:rPr>
          <w:b w:val="0"/>
          <w:i w:val="0"/>
        </w:rPr>
        <w:t>操作：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不因EPS数字夸张就立即抄底；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观察首日能否收回盘中跌幅；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等待第二天或回踩关键均线后再补仓；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优先补DRAM ETF，而不是两倍三星。</w:t>
      </w:r>
    </w:p>
    <w:p>
      <w:pPr>
        <w:pStyle w:val="Heading2"/>
      </w:pPr>
      <w:r>
        <w:rPr>
          <w:b w:val="0"/>
          <w:i w:val="0"/>
        </w:rPr>
        <w:t>情景三：指引低于预期或资本开支明显超预期</w:t>
      </w:r>
    </w:p>
    <w:p>
      <w:r>
        <w:rPr>
          <w:b w:val="0"/>
          <w:i w:val="0"/>
        </w:rPr>
        <w:t>特征：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下一季度收入指引未继续上调；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毛利率开始回落；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HBM或服务器需求低于预期；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资本开支再次大幅提高；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管理层提到客户库存、价格阻力或需求提前透支。</w:t>
      </w:r>
    </w:p>
    <w:p>
      <w:r>
        <w:rPr>
          <w:b w:val="0"/>
          <w:i w:val="0"/>
        </w:rPr>
        <w:t>操作：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不急于接回减掉的仓位；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继续降低两倍三星；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保留美光小核心仓；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等三星和海力士财报进行二次验证。</w:t>
      </w:r>
    </w:p>
    <w:p>
      <w:pPr>
        <w:pStyle w:val="Heading1"/>
      </w:pPr>
      <w:r>
        <w:rPr>
          <w:b w:val="0"/>
          <w:i w:val="0"/>
        </w:rPr>
        <w:t>十一、主要风险</w:t>
      </w:r>
    </w:p>
    <w:p>
      <w:pPr>
        <w:pStyle w:val="Heading2"/>
      </w:pPr>
      <w:r>
        <w:rPr>
          <w:b w:val="0"/>
          <w:i w:val="0"/>
        </w:rPr>
        <w:t>1. 预期透支</w:t>
      </w:r>
    </w:p>
    <w:p>
      <w:r>
        <w:rPr>
          <w:b w:val="0"/>
          <w:i w:val="0"/>
        </w:rPr>
        <w:t>当前卖方和市场已经大幅提高存储盈利预期，最大的短期风险不是行业突然转差，而是增长速度无法继续超过市场想象。</w:t>
      </w:r>
    </w:p>
    <w:p>
      <w:pPr>
        <w:pStyle w:val="Heading2"/>
      </w:pPr>
      <w:r>
        <w:rPr>
          <w:b w:val="0"/>
          <w:i w:val="0"/>
        </w:rPr>
        <w:t>2. 资本开支扩张</w:t>
      </w:r>
    </w:p>
    <w:p>
      <w:r>
        <w:rPr>
          <w:b w:val="0"/>
          <w:i w:val="0"/>
        </w:rPr>
        <w:t>美光、三星、海力士和铠侠都在扩张先进产能。新产能短期无法快速释放，但市场可能提前交易2027—2028年的供给增加。</w:t>
      </w:r>
    </w:p>
    <w:p>
      <w:pPr>
        <w:pStyle w:val="Heading2"/>
      </w:pPr>
      <w:r>
        <w:rPr>
          <w:b w:val="0"/>
          <w:i w:val="0"/>
        </w:rPr>
        <w:t>3. 价格上涨导致需求破坏</w:t>
      </w:r>
    </w:p>
    <w:p>
      <w:r>
        <w:rPr>
          <w:b w:val="0"/>
          <w:i w:val="0"/>
        </w:rPr>
        <w:t>存储涨价最终会抬高手机、PC、服务器和消费电子成本。若涨价过快，下游客户可能削减配置、延迟采购或加速库存消化。</w:t>
      </w:r>
    </w:p>
    <w:p>
      <w:pPr>
        <w:pStyle w:val="Heading2"/>
      </w:pPr>
      <w:r>
        <w:rPr>
          <w:b w:val="0"/>
          <w:i w:val="0"/>
        </w:rPr>
        <w:t>4. NAND盈利不可线性外推</w:t>
      </w:r>
    </w:p>
    <w:p>
      <w:r>
        <w:rPr>
          <w:b w:val="0"/>
          <w:i w:val="0"/>
        </w:rPr>
        <w:t>闪迪和铠侠当前利润率处于极端高位，不能简单把单季盈利年化。NAND价格一旦从快速上涨转为平稳，利润增速会明显下降。</w:t>
      </w:r>
    </w:p>
    <w:p>
      <w:pPr>
        <w:pStyle w:val="Heading2"/>
      </w:pPr>
      <w:r>
        <w:rPr>
          <w:b w:val="0"/>
          <w:i w:val="0"/>
        </w:rPr>
        <w:t>5. 杠杆产品路径依赖</w:t>
      </w:r>
    </w:p>
    <w:p>
      <w:r>
        <w:rPr>
          <w:b w:val="0"/>
          <w:i w:val="0"/>
        </w:rPr>
        <w:t>两倍产品追踪单日收益，不等于长期累计收益的简单两倍。高波动、跳空和反复震荡都会产生损耗。</w:t>
      </w:r>
    </w:p>
    <w:p>
      <w:pPr>
        <w:pStyle w:val="Heading2"/>
      </w:pPr>
      <w:r>
        <w:rPr>
          <w:b w:val="0"/>
          <w:i w:val="0"/>
        </w:rPr>
        <w:t>6. 重复持仓被低估</w:t>
      </w:r>
    </w:p>
    <w:p>
      <w:r>
        <w:rPr>
          <w:b w:val="0"/>
          <w:i w:val="0"/>
        </w:rPr>
        <w:t>表面上持有DRAM、美光、三星和韩国指数，实际上主要押注同一个存储周期。仓位必须按因子穿透管理，而不能只看产品数量。</w:t>
      </w:r>
    </w:p>
    <w:p>
      <w:pPr>
        <w:pStyle w:val="Heading1"/>
      </w:pPr>
      <w:r>
        <w:rPr>
          <w:b w:val="0"/>
          <w:i w:val="0"/>
        </w:rPr>
        <w:t>十二、结论</w:t>
      </w:r>
    </w:p>
    <w:p>
      <w:r>
        <w:rPr>
          <w:b w:val="0"/>
          <w:i w:val="0"/>
        </w:rPr>
        <w:t>当前存储行业基本面仍然强劲，DRAM、HBM、NAND、企业级SSD与近线HDD均处于景气上行阶段。海力士的基本面质量最高，美光是全球存储财报最重要的定调者，三星是传统DRAM涨价的重要受益者，闪迪和铠侠利润弹性最大，希捷和西部数据则提供更稳定的HDD和现金流逻辑。</w:t>
      </w:r>
    </w:p>
    <w:p>
      <w:r>
        <w:rPr>
          <w:b w:val="0"/>
          <w:i w:val="0"/>
        </w:rPr>
        <w:t>但当前组合的主要问题已经不是方向判断，而是仓位结构：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DRAM ETF 16%；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美光5%；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两倍三星8%；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韩国指数6%；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名义仓位35%；</w:t>
      </w:r>
    </w:p>
    <w:p>
      <w:pPr>
        <w:ind w:left="255" w:hanging="198"/>
      </w:pPr>
      <w:r>
        <w:t xml:space="preserve">• </w:t>
      </w:r>
      <w:r>
        <w:rPr>
          <w:b w:val="0"/>
          <w:i w:val="0"/>
        </w:rPr>
        <w:t>有效存储方向敞口约39%—40%。</w:t>
      </w:r>
    </w:p>
    <w:p>
      <w:r>
        <w:rPr>
          <w:b w:val="0"/>
          <w:i w:val="0"/>
        </w:rPr>
        <w:t>在这种情况下，美光财报前继续加仓不合理，完全不动也偏冒险。</w:t>
      </w:r>
    </w:p>
    <w:p>
      <w:r>
        <w:rPr>
          <w:b/>
          <w:i w:val="0"/>
        </w:rPr>
        <w:t>建议的财报前基准方案是：DRAM降至11%，美光保留5%，两倍三星降至4%，韩国指数保留6%。</w:t>
      </w:r>
    </w:p>
    <w:p>
      <w:r>
        <w:rPr>
          <w:b w:val="0"/>
          <w:i w:val="0"/>
        </w:rPr>
        <w:t>这样可以把名义仓位降至26%，保留存储超级周期的核心收益，同时降低财报隔夜风险、重复暴露和两倍杠杆带来的组合冲击。财报后再根据下一季度指引、毛利率、资本开支和股价承接决定是否重新加仓。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XXY Alpha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8736B"/>
      </w:rPr>
      <w:t>XXY Alpha  /  Leslie 的研究笔记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80" w:lineRule="exact" w:after="160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 Unicode MS" w:hAnsi="Arial Unicode MS" w:eastAsia="Arial Unicode M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 Unicode MS" w:hAnsi="Arial Unicode MS" w:eastAsia="Arial Unicode M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 Unicode MS" w:hAnsi="Arial Unicode MS" w:eastAsia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="Arial Unicode MS" w:hAnsi="Arial Unicode MS" w:eastAsia="Arial Unicode MS"/>
      <w:b/>
      <w:bCs/>
      <w:color w:val="285B4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="Arial Unicode MS" w:hAnsi="Arial Unicode MS" w:eastAsia="Arial Unicode MS"/>
      <w:b/>
      <w:bCs/>
      <w:color w:val="285B4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="Arial Unicode MS" w:hAnsi="Arial Unicode MS" w:eastAsia="Arial Unicode MS"/>
      <w:b/>
      <w:bCs/>
      <w:color w:val="285B4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 Unicode MS" w:hAnsi="Arial Unicode MS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 Unicode MS" w:hAnsi="Arial Unicode MS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 Unicode MS" w:hAnsi="Arial Unicode MS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 Unicode MS" w:hAnsi="Arial Unicode MS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 Unicode MS" w:hAnsi="Arial Unicode MS" w:eastAsia="Arial Unicode MS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 Unicode MS" w:hAnsi="Arial Unicode MS" w:eastAsia="Arial Unicode M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 Unicode MS" w:hAnsi="Arial Unicode MS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 Unicode MS" w:hAnsi="Arial Unicode MS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 Unicode MS" w:hAnsi="Arial Unicode MS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="Arial Unicode MS" w:hAnsi="Arial Unicode MS" w:eastAsia="Arial Unicode MS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 Unicode MS" w:hAnsi="Arial Unicode MS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 Unicode MS" w:hAnsi="Arial Unicode MS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 Unicode MS" w:hAnsi="Arial Unicode MS" w:eastAsia="Arial Unicode M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 Unicode MS" w:hAnsi="Arial Unicode MS" w:eastAsia="Arial Unicode M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 Unicode MS" w:hAnsi="Arial Unicode MS" w:eastAsia="Arial Unicode M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 Unicode MS" w:hAnsi="Arial Unicode MS" w:eastAsia="Arial Unicode M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 Unicode MS" w:hAnsi="Arial Unicode MS" w:eastAsia="Arial Unicode M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 Unicode MS" w:hAnsi="Arial Unicode MS" w:eastAsia="Arial Unicode M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 Unicode MS" w:hAnsi="Arial Unicode MS" w:eastAsia="Arial Unicode M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 Unicode MS" w:hAnsi="Arial Unicode MS" w:eastAsia="Arial Unicode M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 Unicode MS" w:hAnsi="Arial Unicode MS" w:eastAsia="Arial Unicode M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 Unicode MS" w:hAnsi="Arial Unicode MS" w:eastAsia="Arial Unicode M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 Unicode MS" w:hAnsi="Arial Unicode MS" w:eastAsia="Arial Unicode M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 Unicode MS" w:hAnsi="Arial Unicode MS" w:eastAsia="Arial Unicode M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 Unicode MS" w:hAnsi="Arial Unicode MS" w:eastAsia="Arial Unicode M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 Unicode MS" w:hAnsi="Arial Unicode MS" w:eastAsia="Arial Unicode M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 Unicode MS" w:hAnsi="Arial Unicode MS" w:eastAsia="Arial Unicode M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 Unicode MS" w:hAnsi="Arial Unicode MS" w:eastAsia="Arial Unicode M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 Unicode MS" w:hAnsi="Arial Unicode MS" w:eastAsia="Arial Unicode M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 Unicode MS" w:hAnsi="Arial Unicode MS" w:eastAsia="Arial Unicode M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 Unicode MS" w:hAnsi="Arial Unicode MS" w:eastAsia="Arial Unicode M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 Unicode MS" w:hAnsi="Arial Unicode MS" w:eastAsia="Arial Unicode M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 Unicode MS" w:hAnsi="Arial Unicode MS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 Unicode MS" w:hAnsi="Arial Unicode MS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 Unicode MS" w:hAnsi="Arial Unicode MS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 Unicode MS" w:hAnsi="Arial Unicode MS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0" w:lineRule="exact"/>
    </w:pPr>
    <w:rPr>
      <w:rFonts w:ascii="Arial Unicode MS" w:hAnsi="Arial Unicode MS" w:eastAsia="Arial Unicode MS"/>
      <w:b w:val="0"/>
      <w:bCs/>
      <w:color w:val="68736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 Unicode MS" w:hAnsi="Arial Unicode MS" w:eastAsia="Arial Unicode M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 Unicode MS" w:hAnsi="Arial Unicode MS" w:eastAsia="Arial Unicode M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 Unicode MS" w:hAnsi="Arial Unicode MS" w:eastAsia="Arial Unicode M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 Unicode MS" w:hAnsi="Arial Unicode MS" w:eastAsia="Arial Unicode M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 Unicode MS" w:hAnsi="Arial Unicode MS" w:eastAsia="Arial Unicode M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 Unicode MS" w:hAnsi="Arial Unicode MS" w:eastAsia="Arial Unicode M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 Unicode MS" w:hAnsi="Arial Unicode MS" w:eastAsia="Arial Unicode M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 Unicode MS" w:hAnsi="Arial Unicode MS" w:eastAsia="Arial Unicode M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xxyalpha.cn/articles/storage-supercycl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存储超级周期跟踪：财报时间线、业绩预期与美光财报前仓位策略</dc:title>
  <dc:subject>历史研究文章离线阅读版</dc:subject>
  <dc:creator>XXY Alpha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