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存储 vs MLCC 供需失衡终版对比（v3.0，含大摩06012纪要重估）</w:t>
      </w:r>
    </w:p>
    <w:p>
      <w:pPr>
        <w:pStyle w:val="Caption"/>
      </w:pPr>
      <w:r>
        <w:t>原文日期 2026-06-15    文件生成 2026-09-12</w:t>
      </w:r>
    </w:p>
    <w:p>
      <w:hyperlink r:id="rId11">
        <w:r>
          <w:rPr>
            <w:color w:val="285B49"/>
            <w:u w:val="single"/>
          </w:rPr>
          <w:t>阅读网站原文</w:t>
        </w:r>
      </w:hyperlink>
    </w:p>
    <w:p>
      <w:pPr>
        <w:pStyle w:val="Caption"/>
      </w:pPr>
      <w:r>
        <w:t>离线阅读版保留原文观点与日期，不代表当前判断。来源链接可点击；网页的最新修订以原文为准。</w:t>
      </w:r>
    </w:p>
    <w:p>
      <w:r>
        <w:rPr>
          <w:b w:val="0"/>
          <w:i w:val="0"/>
        </w:rPr>
        <w:t>供需失衡投资模型（五维度十分制）· v3.0</w:t>
      </w:r>
    </w:p>
    <w:p>
      <w:r>
        <w:rPr>
          <w:b w:val="0"/>
          <w:i w:val="0"/>
        </w:rPr>
        <w:t>出具日期：2026-06-14｜信息源：摩根士丹利 2026-06-12 电话会</w:t>
      </w:r>
    </w:p>
    <w:p>
      <w:r>
        <w:rPr>
          <w:b w:val="0"/>
          <w:i w:val="0"/>
        </w:rPr>
        <w:t>研究范围：存储（DRAM/HBM/NAND）vs MLCC 高端环节</w:t>
      </w:r>
    </w:p>
    <w:p>
      <w:pPr>
        <w:pStyle w:val="Heading1"/>
      </w:pPr>
      <w:r>
        <w:rPr>
          <w:b w:val="0"/>
          <w:i w:val="0"/>
        </w:rPr>
        <w:t>终版结论</w:t>
      </w:r>
    </w:p>
    <w:p>
      <w:r>
        <w:rPr>
          <w:b/>
          <w:i w:val="0"/>
        </w:rPr>
        <w:t>存储 8.05 → 8.55</w:t>
      </w:r>
      <w:r>
        <w:rPr>
          <w:b w:val="0"/>
          <w:i w:val="0"/>
        </w:rPr>
        <w:t>（A 级逼近 S 级），</w:t>
      </w:r>
      <w:r>
        <w:rPr>
          <w:b/>
          <w:i w:val="0"/>
        </w:rPr>
        <w:t>MLCC 高端环节 7.55 → 7.20</w:t>
      </w:r>
      <w:r>
        <w:rPr>
          <w:b w:val="0"/>
          <w:i w:val="0"/>
        </w:rPr>
        <w:t>（仍 A 级但回落）。</w:t>
      </w:r>
    </w:p>
    <w:p>
      <w:r>
        <w:rPr>
          <w:b w:val="0"/>
          <w:i w:val="0"/>
        </w:rPr>
        <w:t xml:space="preserve">这份纪要对存储是 </w:t>
      </w:r>
      <w:r>
        <w:rPr>
          <w:b/>
          <w:i w:val="0"/>
        </w:rPr>
        <w:t>实锤上修</w:t>
      </w:r>
      <w:r>
        <w:rPr>
          <w:b w:val="0"/>
          <w:i w:val="0"/>
        </w:rPr>
        <w:t xml:space="preserve">（LTA 锁价 + AI 推理成本托底需求），对 MLCC 是 </w:t>
      </w:r>
      <w:r>
        <w:rPr>
          <w:b/>
          <w:i w:val="0"/>
        </w:rPr>
        <w:t>部分证伪</w:t>
      </w:r>
      <w:r>
        <w:rPr>
          <w:b w:val="0"/>
          <w:i w:val="0"/>
        </w:rPr>
        <w:t xml:space="preserve">——村田主动按住高阶价格、只涨中低阶赶客户。两者差距由 1.10 重新拉大到 </w:t>
      </w:r>
      <w:r>
        <w:rPr>
          <w:b/>
          <w:i w:val="0"/>
        </w:rPr>
        <w:t>1.35</w:t>
      </w:r>
      <w:r>
        <w:rPr>
          <w:b w:val="0"/>
          <w:i w:val="0"/>
        </w:rPr>
        <w:t>。</w:t>
      </w:r>
    </w:p>
    <w:p>
      <w:pPr>
        <w:pStyle w:val="Heading1"/>
      </w:pPr>
      <w:r>
        <w:rPr>
          <w:b w:val="0"/>
          <w:i w:val="0"/>
        </w:rPr>
        <w:t>一、重估的信息源</w:t>
      </w:r>
    </w:p>
    <w:p>
      <w:r>
        <w:rPr>
          <w:b w:val="0"/>
          <w:i w:val="0"/>
        </w:rPr>
        <w:t>摩根士丹利亚洲科技团队 2026-06-12 新经济板块电话会，涵盖存储、MLCC 与 AI 产业链。该纪要补上了前两版评分最缺的两块拼图——存储侧的供给纪律与估值锚（LTA），以及 MLCC 高阶价格的反常细节。</w:t>
      </w:r>
    </w:p>
    <w:p>
      <w:pPr>
        <w:pStyle w:val="Heading1"/>
      </w:pPr>
      <w:r>
        <w:rPr>
          <w:b w:val="0"/>
          <w:i w:val="0"/>
        </w:rPr>
        <w:t>二、存储：三块关键拼图，评分上修</w:t>
      </w:r>
    </w:p>
    <w:p>
      <w:pPr>
        <w:pStyle w:val="Heading2"/>
      </w:pPr>
      <w:r>
        <w:rPr>
          <w:b w:val="0"/>
          <w:i w:val="0"/>
        </w:rPr>
        <w:t>供给纪律由"推测"变"具体约束源"</w:t>
      </w:r>
    </w:p>
    <w:p>
      <w:r>
        <w:rPr>
          <w:b w:val="0"/>
          <w:i w:val="0"/>
        </w:rPr>
        <w:t xml:space="preserve">纪要明确供给端受洁净室、EUV、HBM 产能切换、新品良率爬坡四重限制，短期难快速释放，存储仍是 AI 基础设施的关键瓶颈。供给弹性维持 </w:t>
      </w:r>
      <w:r>
        <w:rPr>
          <w:b/>
          <w:i w:val="0"/>
        </w:rPr>
        <w:t>9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需求性质被重新定义——本版最重要的升级</w:t>
      </w:r>
    </w:p>
    <w:p>
      <w:r>
        <w:rPr>
          <w:b w:val="0"/>
          <w:i w:val="0"/>
        </w:rPr>
        <w:t xml:space="preserve">核心论点：存储已从"消费电子驱动的商品周期"变为"AI 的 token production 核心输入"。更关键的是价格弹性逻辑反转——传统周期降价=利润承压，但 AI 场景下更便宜的 DRAM 会降低推理成本、反而刺激更多部署与新增需求。这意味着存储需求曲线下方有 AI 托底，周期性被结构性需求部分对冲——这是 MLCC 完全不具备的属性。需求增速维持 </w:t>
      </w:r>
      <w:r>
        <w:rPr>
          <w:b/>
          <w:i w:val="0"/>
        </w:rPr>
        <w:t>9</w:t>
      </w:r>
      <w:r>
        <w:rPr>
          <w:b w:val="0"/>
          <w:i w:val="0"/>
        </w:rPr>
        <w:t>，质量评级实质提升。</w:t>
      </w:r>
    </w:p>
    <w:p>
      <w:pPr>
        <w:pStyle w:val="Heading2"/>
      </w:pPr>
      <w:r>
        <w:rPr>
          <w:b w:val="0"/>
          <w:i w:val="0"/>
        </w:rPr>
        <w:t>LTA：全新的、MLCC 没有的估值/现金流锚</w:t>
      </w:r>
    </w:p>
    <w:p>
      <w:r>
        <w:rPr>
          <w:b w:val="0"/>
          <w:i w:val="0"/>
        </w:rPr>
        <w:t>若未来 3–5 年 LTA 覆盖 50–70% 以上供应、给这部分稳定现金流 10 倍 PE，DRAM 估值可重置到 8–10 倍；而当前三星/海力士按 2027 EPS 仅约 5 倍 PE。HBM 是 LTA 绑定涨价的核心，预计 2027 年 HBM 价格同比涨 50–100%。Q3 合约价 DRAM 预计涨 10–20%、NAND 20–30%（更乐观情形 DDR4 单季 20–30%）。LTA 把"价格持续性"从季度现货博弈升级成多年合约锁定的现金流可见度，是供给方话语权的制度化体现。</w:t>
      </w:r>
    </w:p>
    <w:p>
      <w:r>
        <w:rPr>
          <w:b w:val="0"/>
          <w:i w:val="0"/>
        </w:rPr>
        <w:t xml:space="preserve">存储价格持续性 </w:t>
      </w:r>
      <w:r>
        <w:rPr>
          <w:b/>
          <w:i w:val="0"/>
        </w:rPr>
        <w:t>8 → 9</w:t>
      </w:r>
      <w:r>
        <w:rPr>
          <w:b w:val="0"/>
          <w:i w:val="0"/>
        </w:rPr>
        <w:t xml:space="preserve">，话语权 </w:t>
      </w:r>
      <w:r>
        <w:rPr>
          <w:b/>
          <w:i w:val="0"/>
        </w:rPr>
        <w:t>7 → 8</w:t>
      </w:r>
      <w:r>
        <w:rPr>
          <w:b w:val="0"/>
          <w:i w:val="0"/>
        </w:rPr>
        <w:t>。</w:t>
      </w:r>
    </w:p>
    <w:p>
      <w:pPr>
        <w:pStyle w:val="Heading1"/>
      </w:pPr>
      <w:r>
        <w:rPr>
          <w:b w:val="0"/>
          <w:i w:val="0"/>
        </w:rPr>
        <w:t>三、MLCC：纪要证伪了 v2 的一部分乐观</w:t>
      </w:r>
    </w:p>
    <w:p>
      <w:r>
        <w:rPr>
          <w:b w:val="0"/>
          <w:i w:val="0"/>
        </w:rPr>
        <w:t>纪要有三个细节与 v2"高阶涨 15–35%、价格持续性 7 分"直接冲突：</w:t>
      </w:r>
    </w:p>
    <w:p>
      <w:pPr>
        <w:pStyle w:val="Heading2"/>
      </w:pPr>
      <w:r>
        <w:rPr>
          <w:b w:val="0"/>
          <w:i w:val="0"/>
        </w:rPr>
        <w:t>高阶价格被龙头主动按住，没涨</w:t>
      </w:r>
    </w:p>
    <w:p>
      <w:r>
        <w:rPr>
          <w:b w:val="0"/>
          <w:i w:val="0"/>
        </w:rPr>
        <w:t>能做高阶的厂商都 follow 村田，而村田明确表示目前没有抬高高阶产品价格的打算；真正在涨的是中低阶。外部印证：村田对高阶定价保持谨慎、希望减少对销售影响，2026 年电容产品 ASP 预计仅同比涨 5–10%。"高阶涨 50–80%"更多是现货/渠道价，非龙头出厂价。</w:t>
      </w:r>
    </w:p>
    <w:p>
      <w:pPr>
        <w:pStyle w:val="Heading2"/>
      </w:pPr>
      <w:r>
        <w:rPr>
          <w:b w:val="0"/>
          <w:i w:val="0"/>
        </w:rPr>
        <w:t>涨中低阶的动机是"赶客户走"，不是需求拉动</w:t>
      </w:r>
    </w:p>
    <w:p>
      <w:r>
        <w:rPr>
          <w:b w:val="0"/>
          <w:i w:val="0"/>
        </w:rPr>
        <w:t>头部厂商对中低阶涨价的真实动机，是让客户理解"我要把产能转去高阶"——是产能分配信号，不是中低阶真紧缺。</w:t>
      </w:r>
    </w:p>
    <w:p>
      <w:pPr>
        <w:pStyle w:val="Heading2"/>
      </w:pPr>
      <w:r>
        <w:rPr>
          <w:b w:val="0"/>
          <w:i w:val="0"/>
        </w:rPr>
        <w:t>缺口高度集中在 47μF 以上极窄料号带</w:t>
      </w:r>
    </w:p>
    <w:p>
      <w:r>
        <w:rPr>
          <w:b w:val="0"/>
          <w:i w:val="0"/>
        </w:rPr>
        <w:t>VR200 vs GB300，MLCC dollar content +182%，其中 47μF 以上需求 +210%、47μF 以下仅 +50%。比 v2"高容高端"定位还要窄。</w:t>
      </w:r>
    </w:p>
    <w:p>
      <w:r>
        <w:rPr>
          <w:b/>
          <w:i w:val="0"/>
        </w:rPr>
        <w:t>关键修正：</w:t>
      </w:r>
      <w:r>
        <w:rPr>
          <w:b w:val="0"/>
          <w:i w:val="0"/>
        </w:rPr>
        <w:t xml:space="preserve">村田手握高阶 70% 份额、订单是产能两倍，却选择不涨价——诉求是"卡住客户、维持长期关系"而非兑现短期价格弹性。v2 的"价格持续性 7 分"站不住，下修回 </w:t>
      </w:r>
      <w:r>
        <w:rPr>
          <w:b/>
          <w:i w:val="0"/>
        </w:rPr>
        <w:t>6</w:t>
      </w:r>
      <w:r>
        <w:rPr>
          <w:b w:val="0"/>
          <w:i w:val="0"/>
        </w:rPr>
        <w:t>。渠道库存由 5.5 个月降至 4.8 个月，确认是 AI server 真实抽走资源（话语权维持 7、供给弹性维持 7、需求增速维持 8）。</w:t>
      </w:r>
    </w:p>
    <w:p>
      <w:pPr>
        <w:pStyle w:val="Heading1"/>
      </w:pPr>
      <w:r>
        <w:rPr>
          <w:b w:val="0"/>
          <w:i w:val="0"/>
        </w:rPr>
        <w:t>四、并排终版评分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维度（权重）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存储 v2→v3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MLCC v2→v3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纪要带来的关键差异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需求增速 25%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9 → 9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8 → 8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存储有 AI 推理成本托底需求曲线；MLCC 缺口集中在 47μF+ 极窄带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供给弹性 25%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9 → 9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7 → 7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存储四重产能约束被点实；MLCC 稀土锁死不变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价格持续性 20%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 xml:space="preserve">8 → </w:t>
            </w:r>
            <w:r>
              <w:rPr>
                <w:b/>
                <w:i w:val="0"/>
                <w:sz w:val="20"/>
              </w:rPr>
              <w:t>9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 xml:space="preserve">7 → </w:t>
            </w:r>
            <w:r>
              <w:rPr>
                <w:b/>
                <w:i w:val="0"/>
                <w:sz w:val="20"/>
              </w:rPr>
              <w:t>6 ↓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存储 LTA 多年锁价；MLCC 高阶被村田主动按住未涨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竞争集中度 15%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7 → 7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8 → 8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双方高端均高度集中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话语权 15%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 xml:space="preserve">7 → </w:t>
            </w:r>
            <w:r>
              <w:rPr>
                <w:b/>
                <w:i w:val="0"/>
                <w:sz w:val="20"/>
              </w:rPr>
              <w:t>8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7 → 7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存储用 LTA 主动锁价涨价；MLCC 龙头选择不涨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加权总分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8.05 → 8.55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7.55 → 7.20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 xml:space="preserve">差距由 1.10 重新拉大到 </w:t>
            </w:r>
            <w:r>
              <w:rPr>
                <w:b/>
                <w:i w:val="0"/>
                <w:sz w:val="20"/>
              </w:rPr>
              <w:t>1.35</w:t>
            </w:r>
          </w:p>
        </w:tc>
      </w:tr>
    </w:tbl>
    <w:p>
      <w:pPr>
        <w:spacing w:after="60"/>
      </w:pPr>
    </w:p>
    <w:p>
      <w:r>
        <w:rPr>
          <w:b w:val="0"/>
          <w:i w:val="0"/>
        </w:rPr>
        <w:t xml:space="preserve">存储：9×.25 + 9×.25 + 9×.20 + 7×.15 + 8×.15 = 2.25+2.25+1.80+1.05+1.20 = </w:t>
      </w:r>
      <w:r>
        <w:rPr>
          <w:b/>
          <w:i w:val="0"/>
        </w:rPr>
        <w:t>8.55</w:t>
      </w:r>
    </w:p>
    <w:p>
      <w:r>
        <w:rPr>
          <w:b w:val="0"/>
          <w:i w:val="0"/>
        </w:rPr>
        <w:t xml:space="preserve">MLCC：8×.25 + 7×.25 + 6×.20 + 8×.15 + 7×.15 = 2.00+1.75+1.20+1.20+1.05 = </w:t>
      </w:r>
      <w:r>
        <w:rPr>
          <w:b/>
          <w:i w:val="0"/>
        </w:rPr>
        <w:t>7.20</w:t>
      </w:r>
    </w:p>
    <w:p>
      <w:pPr>
        <w:pStyle w:val="Heading1"/>
      </w:pPr>
      <w:r>
        <w:rPr>
          <w:b w:val="0"/>
          <w:i w:val="0"/>
        </w:rPr>
        <w:t>五、核心框架启示：进攻性 vs 防御性话语权</w:t>
      </w:r>
    </w:p>
    <w:p>
      <w:r>
        <w:rPr>
          <w:b w:val="0"/>
          <w:i w:val="0"/>
        </w:rPr>
        <w:t>同样握有高份额，两个行业的龙头做出了截然相反的定价选择，暴露了话语权性质的本质差异：</w:t>
      </w:r>
    </w:p>
    <w:p>
      <w:r>
        <w:rPr>
          <w:b/>
          <w:i w:val="0"/>
        </w:rPr>
        <w:t>存储 · 进攻性话语权</w:t>
      </w:r>
    </w:p>
    <w:p>
      <w:r>
        <w:rPr>
          <w:b w:val="0"/>
          <w:i w:val="0"/>
        </w:rPr>
        <w:t>HBM 绑定 LTA，把周期现金流证券化成估值溢价；主动锁价涨价，3–5 年合约提升盈利与现金流可见度。结果：具备戴维斯双击条件，估值可由 5 倍重置到 8–10 倍。</w:t>
      </w:r>
    </w:p>
    <w:p>
      <w:r>
        <w:rPr>
          <w:b/>
          <w:i w:val="0"/>
        </w:rPr>
        <w:t>MLCC（村田）· 防御性话语权</w:t>
      </w:r>
    </w:p>
    <w:p>
      <w:r>
        <w:rPr>
          <w:b w:val="0"/>
          <w:i w:val="0"/>
        </w:rPr>
        <w:t>怕涨价伤客户关系与长期销售，宁可压住高阶价格、只涨中低阶以引导产能分配，保份额优先。结果：更可能"量增价稳、温和兑现"，价格弹性逻辑被削弱。</w:t>
      </w:r>
    </w:p>
    <w:p>
      <w:r>
        <w:rPr>
          <w:b w:val="0"/>
          <w:i w:val="0"/>
        </w:rPr>
        <w:t>这正解释了为何存储能走戴维斯双击、而 MLCC 高阶大概率温和兑现。对 MLCC，靠成品价格弹性赚钱的逻辑被这份纪要削弱；真正的 alpha 仍回到 v2 结论——卡脖子的上游材料环节（高端钛酸钡粉、镍粉、钽），而非成品涨价。</w:t>
      </w:r>
    </w:p>
    <w:p>
      <w:pPr>
        <w:pStyle w:val="Heading1"/>
      </w:pPr>
      <w:r>
        <w:rPr>
          <w:b w:val="0"/>
          <w:i w:val="0"/>
        </w:rPr>
        <w:t>六、纪要带出的新线索：钽电容链</w:t>
      </w:r>
    </w:p>
    <w:p>
      <w:r>
        <w:rPr>
          <w:b w:val="0"/>
          <w:i w:val="0"/>
        </w:rPr>
        <w:t>大摩单独看好钽电容：国巨作为全球最大钽电容供应商，自 2025 年 4 月起已三次提价（25 年 4 月、10 月、26 年 4 月），上游钽价由 2025 年底至今上涨 100% 以上，预期下半年国巨对钽电容进一步提价。逻辑与"上游材料才是真卖水人"同源，值得单独起环节速评。</w:t>
      </w:r>
    </w:p>
    <w:p>
      <w:pPr>
        <w:pStyle w:val="Heading1"/>
      </w:pPr>
      <w:r>
        <w:rPr>
          <w:b w:val="0"/>
          <w:i w:val="0"/>
        </w:rPr>
        <w:t>七、操作指向</w:t>
      </w:r>
    </w:p>
    <w:p>
      <w:r>
        <w:rPr>
          <w:b/>
          <w:i w:val="0"/>
        </w:rPr>
        <w:t>存储：</w:t>
      </w:r>
      <w:r>
        <w:rPr>
          <w:b w:val="0"/>
          <w:i w:val="0"/>
        </w:rPr>
        <w:t>评分逼近 S 级，结构性 + 估值双重支撑，回调改善风险回报。核心驱动看 Q3 合约价兑现与 LTA 覆盖率提升。</w:t>
      </w:r>
    </w:p>
    <w:p>
      <w:r>
        <w:rPr>
          <w:b/>
          <w:i w:val="0"/>
        </w:rPr>
        <w:t>MLCC：</w:t>
      </w:r>
      <w:r>
        <w:rPr>
          <w:b w:val="0"/>
          <w:i w:val="0"/>
        </w:rPr>
        <w:t>仍 A 级但回落，成品端价格弹性证据转弱；alpha 优先级转向上游材料环节（高端介质粉国瓷、钽电容链），而非成品厂。</w:t>
      </w:r>
    </w:p>
    <w:p>
      <w:r>
        <w:rPr>
          <w:b/>
          <w:i w:val="0"/>
        </w:rPr>
        <w:t>下一步：</w:t>
      </w:r>
      <w:r>
        <w:rPr>
          <w:b w:val="0"/>
          <w:i w:val="0"/>
        </w:rPr>
        <w:t>对国瓷材料、三环集团做个股四维度打分；并对钽电容链（国巨提价 + 钽价翻倍）起环节速评。</w:t>
      </w:r>
    </w:p>
    <w:p>
      <w:r>
        <w:rPr>
          <w:b w:val="0"/>
          <w:i w:val="0"/>
        </w:rPr>
        <w:t>本报告由六便士投研笔记 · 供需失衡投资模型（v3.0）生成，信息源含摩根士丹利 2026-06-12 电话会纪要。仅供内部学习使用，不构成投资建议。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XXY Alpha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8736B"/>
      </w:rPr>
      <w:t>XXY Alpha  /  Leslie 的研究笔记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80" w:lineRule="exact" w:after="160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Arial Unicode MS" w:hAnsi="Arial Unicode MS" w:eastAsia="Arial Unicode MS"/>
      <w:b/>
      <w:bCs/>
      <w:color w:val="285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="Arial Unicode MS" w:hAnsi="Arial Unicode MS" w:eastAsia="Arial Unicode MS"/>
      <w:b/>
      <w:bCs/>
      <w:color w:val="285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="Arial Unicode MS" w:hAnsi="Arial Unicode MS" w:eastAsia="Arial Unicode MS"/>
      <w:b/>
      <w:bCs/>
      <w:color w:val="285B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/>
    </w:pPr>
    <w:rPr>
      <w:rFonts w:ascii="Arial Unicode MS" w:hAnsi="Arial Unicode MS" w:eastAsia="Arial Unicode MS"/>
      <w:b w:val="0"/>
      <w:bCs/>
      <w:color w:val="6873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xxyalpha.cn/articles/supply-demand-storage-vs-mlcc-v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存储 vs MLCC 供需失衡终版对比（v3.0，含大摩06012纪要重估）</dc:title>
  <dc:subject>历史研究文章离线阅读版</dc:subject>
  <dc:creator>XXY Alpha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