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 回购授权升至 351.6 亿美元，下一步看实际执行</w:t>
      </w:r>
    </w:p>
    <w:p>
      <w:pPr>
        <w:pStyle w:val="Caption"/>
      </w:pPr>
      <w:r>
        <w:t>原文日期 2026-10-28    文件生成 2026-10-28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美光扩大回购规模的计划出现了可核实的推进：从管理层表态，进入董事会正式授权。对 10 月 2 日的原研究而言，这增强了“高利润有望转化为每股回报”的证据，但还不足以证明存储周期已经改变。</w:t>
      </w:r>
    </w:p>
    <w:p>
      <w:pPr>
        <w:pStyle w:val="Heading3"/>
      </w:pPr>
      <w:r>
        <w:rPr>
          <w:b w:val="0"/>
          <w:i w:val="0"/>
        </w:rPr>
        <w:t>原来知道什么，现在多了什么</w:t>
      </w:r>
    </w:p>
    <w:p>
      <w:r>
        <w:rPr>
          <w:b w:val="0"/>
          <w:i w:val="0"/>
        </w:rPr>
        <w:t>原档案已记录，公司计划从 2026 年 12 月 9 日起提高资本回报。该计划来自 9 月 30 日财报电话会；当时仍应作为管理层意向，而非已经完成的回购来理解。</w:t>
      </w:r>
      <w:hyperlink r:id="rId12">
        <w:r>
          <w:rPr>
            <w:color w:val="285B49"/>
            <w:u w:val="single"/>
          </w:rPr>
          <w:t>原个股档案</w:t>
        </w:r>
      </w:hyperlink>
      <w:r>
        <w:rPr>
          <w:b w:val="0"/>
          <w:i w:val="0"/>
        </w:rPr>
        <w:t>、</w:t>
      </w:r>
      <w:hyperlink r:id="rId13">
        <w:r>
          <w:rPr>
            <w:color w:val="285B49"/>
            <w:u w:val="single"/>
          </w:rPr>
          <w:t>公司财报讲话稿，第 9 页</w:t>
        </w:r>
      </w:hyperlink>
    </w:p>
    <w:p>
      <w:r>
        <w:rPr>
          <w:b w:val="0"/>
          <w:i w:val="0"/>
        </w:rPr>
        <w:t xml:space="preserve">新增事实是：董事会于 </w:t>
      </w:r>
      <w:r>
        <w:rPr>
          <w:b/>
          <w:i w:val="0"/>
        </w:rPr>
        <w:t>2026 年 10 月 8 日</w:t>
      </w:r>
      <w:r>
        <w:rPr>
          <w:b w:val="0"/>
          <w:i w:val="0"/>
        </w:rPr>
        <w:t xml:space="preserve">将回购授权提高至 </w:t>
      </w:r>
      <w:r>
        <w:rPr>
          <w:b/>
          <w:i w:val="0"/>
        </w:rPr>
        <w:t>351.6 亿美元（35.16 billion 美元）</w:t>
      </w:r>
      <w:r>
        <w:rPr>
          <w:b w:val="0"/>
          <w:i w:val="0"/>
        </w:rPr>
        <w:t xml:space="preserve">。这一事项载于 10 月 9 日提交的 10-K，相关回购自 </w:t>
      </w:r>
      <w:r>
        <w:rPr>
          <w:b/>
          <w:i w:val="0"/>
        </w:rPr>
        <w:t>12 月 9 日</w:t>
      </w:r>
      <w:r>
        <w:rPr>
          <w:b w:val="0"/>
          <w:i w:val="0"/>
        </w:rPr>
        <w:t>起，须遵守 CHIPS 直接资助协议。授权没有到期日，也不要求公司一定购买股票。因此，351.6 亿美元是提高后的总授权额度，不是本次新增金额或已经花掉的钱，也不是“12 月 9 日当天买完”的承诺。</w:t>
      </w:r>
      <w:hyperlink r:id="rId14">
        <w:r>
          <w:rPr>
            <w:color w:val="285B49"/>
            <w:u w:val="single"/>
          </w:rPr>
          <w:t>SEC 10-K，第 52—53 页</w:t>
        </w:r>
      </w:hyperlink>
      <w:r>
        <w:rPr>
          <w:b w:val="0"/>
          <w:i w:val="0"/>
        </w:rPr>
        <w:t>、</w:t>
      </w:r>
      <w:hyperlink r:id="rId15">
        <w:r>
          <w:rPr>
            <w:color w:val="285B49"/>
            <w:u w:val="single"/>
          </w:rPr>
          <w:t>SEC 提交日期</w:t>
        </w:r>
      </w:hyperlink>
    </w:p>
    <w:p>
      <w:pPr>
        <w:pStyle w:val="Heading3"/>
      </w:pPr>
      <w:r>
        <w:rPr>
          <w:b w:val="0"/>
          <w:i w:val="0"/>
        </w:rPr>
        <w:t>对原判断的影响</w:t>
      </w:r>
    </w:p>
    <w:p>
      <w:r>
        <w:rPr>
          <w:b/>
          <w:i w:val="0"/>
        </w:rPr>
        <w:t>强化的是资本配置的可执行性。</w:t>
      </w:r>
      <w:r>
        <w:rPr>
          <w:b w:val="0"/>
          <w:i w:val="0"/>
        </w:rPr>
        <w:t xml:space="preserve"> 原研究已经把股东回报列为验证项；如今有了董事会批准的额度，后续能用实际支出、回购价格和净股数变化检验，而不必停留在意向层面。</w:t>
      </w:r>
    </w:p>
    <w:p>
      <w:r>
        <w:rPr>
          <w:b/>
          <w:i w:val="0"/>
        </w:rPr>
        <w:t>没有新增验证的是盈利的持续性。</w:t>
      </w:r>
      <w:r>
        <w:rPr>
          <w:b w:val="0"/>
          <w:i w:val="0"/>
        </w:rPr>
        <w:t xml:space="preserve"> 回购授权本身不增加订单，不说明常规 DRAM 和 NAND 的高价格可以永久维持，也不等于新产能已经创造回报。它不能单独支持上调长期利润假设或估值倍数。</w:t>
      </w:r>
    </w:p>
    <w:p>
      <w:r>
        <w:rPr>
          <w:b w:val="0"/>
          <w:i w:val="0"/>
        </w:rPr>
        <w:t>我的判断：资本回报这一条证据改善，原有的周期风险判断保留。回购是否创造每股价值，仍取决于购买价格、股权激励造成的新增股份，以及扩产之后还能留下多少现金。公司 9 月 30 日预计，FY2027 上半年扣除预计政府激励后的资本开支约为 250 亿美元，下半年预计更高；这一既有计划也提醒我们，扩产与资本回报需要放在同一张现金预算中观察。</w:t>
      </w:r>
      <w:hyperlink r:id="rId13">
        <w:r>
          <w:rPr>
            <w:color w:val="285B49"/>
            <w:u w:val="single"/>
          </w:rPr>
          <w:t>公司财报讲话稿，第 10 页，管理层前瞻</w:t>
        </w:r>
      </w:hyperlink>
    </w:p>
    <w:p>
      <w:pPr>
        <w:pStyle w:val="Heading3"/>
      </w:pPr>
      <w:r>
        <w:rPr>
          <w:b w:val="0"/>
          <w:i w:val="0"/>
        </w:rPr>
        <w:t>下一次怎样验证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执行金额与价格：</w:t>
      </w:r>
      <w:r>
        <w:rPr>
          <w:b w:val="0"/>
          <w:i w:val="0"/>
        </w:rPr>
        <w:t xml:space="preserve"> 关注首份覆盖 12 月 9 日之后期间的定期报告，核对实际回购金额、股数及平均价格。不能把尚未覆盖执行窗口的季度直接判为“回购落空”。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净股数：</w:t>
      </w:r>
      <w:r>
        <w:rPr>
          <w:b w:val="0"/>
          <w:i w:val="0"/>
        </w:rPr>
        <w:t xml:space="preserve"> 将回购与股权激励、其他发行合并观察。买入股票的数量，不一定等于流通股数的净减少。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现金承受力：</w:t>
      </w:r>
      <w:r>
        <w:rPr>
          <w:b w:val="0"/>
          <w:i w:val="0"/>
        </w:rPr>
        <w:t xml:space="preserve"> 同时跟踪经营现金流、资本开支、股息和客户押金返还义务；保持各期口径一致，避免只盯授权 headline。</w:t>
      </w:r>
    </w:p>
    <w:p>
      <w:r>
        <w:rPr>
          <w:b w:val="0"/>
          <w:i w:val="0"/>
        </w:rPr>
        <w:t>如果执行后净股数下降、现金缓冲仍足够，资本配置判断可进一步增强；如果高价回购叠加扩产负担，则需要重新评估每股价值。这些是后续检验条件，不是对结果的预言。</w:t>
      </w:r>
    </w:p>
    <w:p>
      <w:r>
        <w:rPr>
          <w:b w:val="0"/>
          <w:i w:val="0"/>
        </w:rPr>
        <w:t>——本文为研究跟踪，不构成个性化投资建议。</w:t>
      </w:r>
    </w:p>
    <w:p>
      <w:pPr>
        <w:pStyle w:val="Heading1"/>
      </w:pPr>
      <w:r>
        <w:t>原文引用链接</w:t>
      </w:r>
    </w:p>
    <w:p>
      <w:pPr>
        <w:spacing w:line="260" w:lineRule="exact"/>
      </w:pPr>
      <w:r>
        <w:rPr>
          <w:sz w:val="18"/>
        </w:rPr>
        <w:t xml:space="preserve">1. </w:t>
      </w:r>
      <w:hyperlink r:id="rId12">
        <w:r>
          <w:rPr>
            <w:color w:val="285B49"/>
            <w:u w:val="single"/>
          </w:rPr>
          <w:t>https://www.xxyalpha.cn/research/mu/dossier/</w:t>
        </w:r>
      </w:hyperlink>
    </w:p>
    <w:p>
      <w:pPr>
        <w:spacing w:line="260" w:lineRule="exact"/>
      </w:pPr>
      <w:r>
        <w:rPr>
          <w:sz w:val="18"/>
        </w:rPr>
        <w:t xml:space="preserve">2. </w:t>
      </w:r>
      <w:hyperlink r:id="rId13">
        <w:r>
          <w:rPr>
            <w:color w:val="285B49"/>
            <w:u w:val="single"/>
          </w:rPr>
          <w:t>https://s25.q4cdn.com/621799436/files/doc_financials/2026/q4/Q4-FY26-Prepared-Remarks.pdf</w:t>
        </w:r>
      </w:hyperlink>
    </w:p>
    <w:p>
      <w:pPr>
        <w:spacing w:line="260" w:lineRule="exact"/>
      </w:pPr>
      <w:r>
        <w:rPr>
          <w:sz w:val="18"/>
        </w:rPr>
        <w:t xml:space="preserve">3. </w:t>
      </w:r>
      <w:hyperlink r:id="rId14">
        <w:r>
          <w:rPr>
            <w:color w:val="285B49"/>
            <w:u w:val="single"/>
          </w:rPr>
          <w:t>https://www.sec.gov/Archives/edgar/data/723125/000072312526000023/mu-20260903.htm</w:t>
        </w:r>
      </w:hyperlink>
    </w:p>
    <w:p>
      <w:pPr>
        <w:spacing w:line="260" w:lineRule="exact"/>
      </w:pPr>
      <w:r>
        <w:rPr>
          <w:sz w:val="18"/>
        </w:rPr>
        <w:t xml:space="preserve">4. </w:t>
      </w:r>
      <w:hyperlink r:id="rId15">
        <w:r>
          <w:rPr>
            <w:color w:val="285B49"/>
            <w:u w:val="single"/>
          </w:rPr>
          <w:t>https://www.sec.gov/Archives/edgar/data/723125/000072312526000023/0000723125-26-000023-index.htm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mu-update-20261028-buyback/" TargetMode="External"/><Relationship Id="rId12" Type="http://schemas.openxmlformats.org/officeDocument/2006/relationships/hyperlink" Target="https://www.xxyalpha.cn/research/mu/dossier/" TargetMode="External"/><Relationship Id="rId13" Type="http://schemas.openxmlformats.org/officeDocument/2006/relationships/hyperlink" Target="https://s25.q4cdn.com/621799436/files/doc_financials/2026/q4/Q4-FY26-Prepared-Remarks.pdf" TargetMode="External"/><Relationship Id="rId14" Type="http://schemas.openxmlformats.org/officeDocument/2006/relationships/hyperlink" Target="https://www.sec.gov/Archives/edgar/data/723125/000072312526000023/mu-20260903.htm" TargetMode="External"/><Relationship Id="rId15" Type="http://schemas.openxmlformats.org/officeDocument/2006/relationships/hyperlink" Target="https://www.sec.gov/Archives/edgar/data/723125/000072312526000023/0000723125-26-000023-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 回购授权升至 351.6 亿美元，下一步看实际执行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