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COHR｜Coherent 个股档案 投研版</w:t>
      </w:r>
    </w:p>
    <w:p>
      <w:r>
        <w:t>更新至2026年10月2日；行情采用10月1日常规收盘，财务采用截至2026年6月30日的2026财年（FY2026）。FY表示财年，Q1表示第一季度；FY27 Q1为截至2026年9月的季度。CY表示自然年。以下情景是研究假设，技术位是观察区域，不是必然结果。</w:t>
      </w:r>
    </w:p>
    <w:p>
      <w:r/>
    </w:p>
    <w:p>
      <w:r>
        <w:t>先给核心结论：</w:t>
      </w:r>
    </w:p>
    <w:p>
      <w:r>
        <w:t>1）Coherent已经从多元光子公司转为数据中心与通信主导的平台，AI光互连是主要增长方向，但仍有电信、工业和材料周期。</w:t>
      </w:r>
    </w:p>
    <w:p>
      <w:r>
        <w:t>2）需求与收入已经得到验证，资本回报仍待验证。FY26收入增长22.5%，经营现金流却明显落后于利润。</w:t>
      </w:r>
    </w:p>
    <w:p>
      <w:r>
        <w:t>3）完整技术链有助于承接CPO和NPO，但“拥有技术”到“客户愿意付钱”，再到“股东赚到现金”，中间仍有多道关。</w:t>
      </w:r>
    </w:p>
    <w:p>
      <w:r>
        <w:t>4）制造能力是资产，也是风险。扩产顺利时会增强竞争力，利用率不足时会放大损失。</w:t>
      </w:r>
    </w:p>
    <w:p>
      <w:r>
        <w:t>5）资产出售、NVIDIA投资和优先股转换改变了报表的可比性，不能只把增长率和每股收益放在一起看。</w:t>
      </w:r>
    </w:p>
    <w:p>
      <w:r>
        <w:t>6）按调整后利润估值，COHR低于目前LITE的水平；这不等于COHR已经便宜，更不能抹去两者现金转换和业务结构的差异。</w:t>
      </w:r>
    </w:p>
    <w:p>
      <w:r>
        <w:t>7）股价对经营预期、管理层、AI主题和政策消息都敏感。长期研究要让业务证据决定判断，不让单日涨幅替自己下结论。</w:t>
      </w:r>
    </w:p>
    <w:p>
      <w:r/>
    </w:p>
    <w:p>
      <w:r>
        <w:t>我的阶段判断：增长是真实的，它正处于非常吃资本的扩产期。现在最值得盯的是库存、产能和订单最后能不能变成每股现金收益。</w:t>
      </w:r>
    </w:p>
    <w:p>
      <w:r/>
    </w:p>
    <w:p>
      <w:r>
        <w:t>1. 一句话看懂公司</w:t>
      </w:r>
    </w:p>
    <w:p>
      <w:r>
        <w:t>Coherent制造产生、调制、传输和探测光的材料、激光芯片、器件、模块及系统，帮助数据中心搬运数据，也为工业和半导体制造提供光学工具。</w:t>
      </w:r>
    </w:p>
    <w:p>
      <w:r/>
    </w:p>
    <w:p>
      <w:r>
        <w:t>理解它，可以把一条光连接拆成四件事：先用激光器产生光，把电子信息编码到光里，让光穿过光纤和连接器，最后由探测器把光变回电。COHR在其中很多节点都有产品。因此研究时既要看市场要多少条连接，也要看每条连接里能卖多少东西，以及最后留下多少利润。</w:t>
      </w:r>
    </w:p>
    <w:p>
      <w:r/>
    </w:p>
    <w:p>
      <w:r>
        <w:t>2. 商业模式</w:t>
      </w:r>
    </w:p>
    <w:p>
      <w:r>
        <w:t>它主要把技术和制造能力卖给设备厂商及大客户，收入随组件、模块和系统交付确认。进入客户设计需要验证时间，成功后有机会跟随产品周期持续供货；但客户集中、降价要求和换代会影响生命周期利润。垂直整合让它既卖“零件”，也卖组合成品，优势是控制关键工序，代价是资金占用和制造复杂性。长期供货协议帮助排产，不能直接当收入。</w:t>
      </w:r>
    </w:p>
    <w:p>
      <w:r/>
    </w:p>
    <w:p>
      <w:r>
        <w:t>这里有三种不同的钱。组件收入依赖设计位置、芯片能力和产能；模块收入还包含组装、电子器件和系统验证；工业系统收入往往受到终端资本开支与项目交付节奏影响。三者订单周期、毛利和营运资本要求不一样。</w:t>
      </w:r>
    </w:p>
    <w:p>
      <w:r>
        <w:t>垂直整合还有一个容易看错的地方：内部工厂把器件卖给自己的模块部门，属于内部交易，合并报表必须抵销。不能把分部含内部销售的数字相加后，再称作外部客户收入。长桥分部接口与公司对外收入存在这种口径差别，本档案采用公司原表。</w:t>
      </w:r>
    </w:p>
    <w:p>
      <w:r/>
    </w:p>
    <w:p>
      <w:r>
        <w:t>3. 收入结构</w:t>
      </w:r>
    </w:p>
    <w:p>
      <w:r>
        <w:t>2025年7月起，公司从原Networking、Materials、Lasers三分部改成Datacenter &amp; Communications与Industrial两分部，历史数据重列。FY26收入71.18亿美元，其中数据中心与通信52.75亿，占74.1%；工业18.44亿，占25.9%。Q4前者已占约79%。通信分部还有电信、DCI等，不能全部贴AI标签；工业收入下降也包括资产出售影响。</w:t>
      </w:r>
      <w:r>
        <w:t>FY26 10-K (https://www.sec.gov/Archives/edgar/data/820318/000082031826000020/iivi-20260630.htm)</w:t>
      </w:r>
      <w:r/>
    </w:p>
    <w:p>
      <w:r/>
    </w:p>
    <w:p>
      <w:r>
        <w:t>FY26数据中心与通信收入同比约增40.5%，工业约降10.3%。这样的结构变化能提升整体增长率，但也让投资人更依赖同一个AI投资周期。所谓“多元化公司”的防御性，需要随收入结构变化重新评估。</w:t>
      </w:r>
    </w:p>
    <w:p>
      <w:r>
        <w:t>工业业务也并非统一衰退：半导体设备、显示制造、汽车相关材料的需求可以错开。应把产品组合变化、业务出售、价格和真实销量拆开，单看工业总收入容易误判。公司尚未披露可支持精确AI收入比例的完整数据。</w:t>
      </w:r>
    </w:p>
    <w:p>
      <w:r/>
    </w:p>
    <w:p>
      <w:r>
        <w:t>4. 行业地位</w:t>
      </w:r>
    </w:p>
    <w:p>
      <w:r>
        <w:t>它是覆盖材料到光学系统的主要全球供应商，尤其值得关注InP/GaAs、激光器、精密光学和模块的组合。不同产品市场差异很大，本次没有取得可统一核验的产品级份额，因此不把“光子技术广”写成每个细分领域都第一。</w:t>
      </w:r>
    </w:p>
    <w:p>
      <w:r/>
    </w:p>
    <w:p>
      <w:r>
        <w:t>更有价值的问题不是“它是不是AI公司”，而是哪些能力竞争对手短期复制不了：合格晶圆产出、长期可靠性、客户认证、关键材料或器件供应，以及把这些环节稳定连接起来的制造体系。公司宽广的产品组合提供了多条参与路径，可以在可插拔模块、外置激光源和集成光学方案之间分配资源；但无法保证每种架构都获得同样份额。</w:t>
      </w:r>
    </w:p>
    <w:p>
      <w:r>
        <w:t>没有可靠细分市占率时，可以用客户批量采用、产品升级速度、收入与毛利趋势做间接验证，不能用发布会宣传替代市场地位证据。</w:t>
      </w:r>
    </w:p>
    <w:p>
      <w:r/>
    </w:p>
    <w:p>
      <w:r>
        <w:t>5. 核心竞争力</w:t>
      </w:r>
    </w:p>
    <w:p>
      <w:r>
        <w:t>核心积累是材料生长、晶圆工艺、光学封装测试、客户认证和制造规模。大客户需要的不只是实验室里能工作的样品，还包括可靠性、良率、交付和成本。Coherent的跨环节布局有利于提供一整套方案。不过，环节多也可能让组织和资本效率变差，护城河最终应体现在持续毛利和投入资本回报上。</w:t>
      </w:r>
    </w:p>
    <w:p>
      <w:r/>
    </w:p>
    <w:p>
      <w:r>
        <w:t>把护城河拆开看会更清楚：</w:t>
      </w:r>
    </w:p>
    <w:p>
      <w:pPr>
        <w:pStyle w:val="ListBullet"/>
      </w:pPr>
      <w:r>
        <w:t>工艺壁垒：实验室器件性能必须转成长期一致的量产结果</w:t>
      </w:r>
    </w:p>
    <w:p>
      <w:pPr>
        <w:pStyle w:val="ListBullet"/>
      </w:pPr>
      <w:r>
        <w:t>交付壁垒：晶圆、光学、封装、测试有任何一个瓶颈，整套方案都可能交不出去</w:t>
      </w:r>
    </w:p>
    <w:p>
      <w:pPr>
        <w:pStyle w:val="ListBullet"/>
      </w:pPr>
      <w:r>
        <w:t>客户壁垒：更换光学器件会牵动功耗、热、寿命和系统验证</w:t>
      </w:r>
    </w:p>
    <w:p>
      <w:pPr>
        <w:pStyle w:val="ListBullet"/>
      </w:pPr>
      <w:r>
        <w:t>组合壁垒：多个组件能共同优化，可能减少客户整合负担</w:t>
      </w:r>
    </w:p>
    <w:p>
      <w:r>
        <w:t>这些优势需要落到价格、良率和订单上。客户也可以采用多供应商、自研设计或其他光学路线，认证壁垒并不等于永久锁定。</w:t>
      </w:r>
    </w:p>
    <w:p>
      <w:r/>
    </w:p>
    <w:p>
      <w:r>
        <w:t>6. 主要竞争对手</w:t>
      </w:r>
    </w:p>
    <w:p>
      <w:r>
        <w:t>激光芯片与光组件层面看Lumentum；模块层面看中际旭创、新易盛、AAOI等；工业激光另有IPG、TRUMPF等不同竞争体系。不能用统一PE和一个份额数字评比全部对手。</w:t>
      </w:r>
    </w:p>
    <w:p>
      <w:r>
        <w:t>与LITE相比，COHR的工业、材料和完整光学链覆盖更广，LITE需要重点跟踪组件、OCS和系统放量。FY26统一经营现金流减现金资本开支口径下，LITE约正3.00亿美元、COHR负10.23亿美元。这是当前资本转换效率的差别，不能自动外推永远如此。</w:t>
      </w:r>
      <w:r>
        <w:t>LITE年报 (https://www.sec.gov/Archives/edgar/data/1633978/000162828026057358/lite-20260627.htm)</w:t>
      </w:r>
      <w:r/>
    </w:p>
    <w:p>
      <w:r/>
    </w:p>
    <w:p>
      <w:r>
        <w:t>比较COHR与LITE时，至少分开三张账：产品机会、当期经营效率和股票价格。覆盖面更广不必然拥有更高增长率；现金流更强不必然意味着估值更划算；当前同涨也不说明公司经营完全相同。</w:t>
      </w:r>
    </w:p>
    <w:p>
      <w:r>
        <w:t>COHR还要把工业资产整合和出售纳入研究。若出售业务提高毛利但削弱未来收入基础，短期指标改善不一定代表长期价值等比例增加。两家公司都在上游光源和下一代互连布局，因此“谁独占整个CPO市场”不是合适的起点。</w:t>
      </w:r>
    </w:p>
    <w:p>
      <w:r/>
    </w:p>
    <w:p>
      <w:r>
        <w:t>7. 未来12至24个月增长逻辑</w:t>
      </w:r>
    </w:p>
    <w:p>
      <w:r>
        <w:t>第一层是800G/1.6T需求和更高速产品组合，第二层是六英寸InP等扩产解除供货瓶颈，第三层是PhotonLink把光学内容延伸到靠近计算和交换芯片的位置。公司给出的时间表：CPO scale-out在CY26 Q4开始爬坡，CPO scale-up及NPO在CY27下半年；chip-to-chip约2029/30，超出主要12至24个月窗口。产品演示、送样、接洽、量产和收入必须分开记录。</w:t>
      </w:r>
      <w:r>
        <w:t>PhotonLink材料 (https://ir.coherent.com/static-files/80d6a0b9-4ea5-422d-af1c-9f886021d518)</w:t>
      </w:r>
      <w:r/>
    </w:p>
    <w:p>
      <w:r/>
    </w:p>
    <w:p>
      <w:r>
        <w:t>增长不是一个连续平滑的数字，而是有顺序的执行链：客户确定架构，供应商通过验证，生产线爬坡，系统部署，确认收入，最后收到现金。只有前半段进展而后半段迟迟没出现时，应降低确定性。</w:t>
      </w:r>
    </w:p>
    <w:p>
      <w:r>
        <w:t>NVIDIA合作可降低部分需求和融资的不确定性，但仍是非独家安排。六英寸InP工艺和Sherman扩产则需要良率、节拍与成本配合。公司称扩建后晶圆产能将达到原来的四倍，这是项目规划，不是当下已可出售产量。</w:t>
      </w:r>
    </w:p>
    <w:p>
      <w:r>
        <w:t>产业从铜向光迁移会增加总机会，同时也可能重新分配传统模块、外置激光源和光引擎的价值。旧产品收入不能与其替代方案的全部潜力简单相加。</w:t>
      </w:r>
      <w:r>
        <w:t>扩产说明 (https://www.coherent.com/news/blog/building-the-infrastructure-supporting-the-ai-era)</w:t>
      </w:r>
      <w:r/>
    </w:p>
    <w:p>
      <w:r/>
    </w:p>
    <w:p>
      <w:r>
        <w:t>8. 核心财务指标</w:t>
      </w:r>
    </w:p>
    <w:p>
      <w:r>
        <w:t>FY26收入71.18亿美元，同比增长22.5%；Q4收入20.46亿，同比增长33.8%。全年美国准则口径归属Coherent净利8.05亿，扣优先股股息后普通股可得7.70亿，稀释每股收益4.12美元；公司调整后口径每股收益为5.61美元。全年美国准则口径经营利润8.98亿，调整后14.57亿。Q4毛利率美国准则口径为38.5%，公司调整后口径为40.2%。</w:t>
      </w:r>
    </w:p>
    <w:p>
      <w:r>
        <w:t>先看现金：经营现金流仅0.80亿，比上年6.34亿明显下降；再看营运资本：库存25.81亿，同比+79.5%，应收13.43亿，同比+39.3%，均快于收入。应付大增暂时缓冲资金消耗，不能只看库存而不看付款节奏。</w:t>
      </w:r>
      <w:r>
        <w:t>公司财务与调节表 (https://www.sec.gov/Archives/edgar/data/820318/000119312526346860/d128030dex991.htm)</w:t>
      </w:r>
      <w:r/>
    </w:p>
    <w:p>
      <w:r/>
    </w:p>
    <w:p>
      <w:r>
        <w:t>利润质量需要再过三道检查。首先，调整后利润剔除了股权薪酬、并购摊销、重组等项目，但这些项目并非都对股东没有成本；其次，出售业务收益和投资收益会提高准则口径利润，却不代表可持续销售能力；最后，优先股股息和转股改变普通股股东最终分到的收益。</w:t>
      </w:r>
    </w:p>
    <w:p>
      <w:r>
        <w:t>全年股权薪酬约1.94亿美元、并购无形资产摊销约2.80亿美元；出售业务收益约1.24亿，另有出售投资收益约0.74亿。正负调整需要双向检查，不能只把费用加回、却保留一次性收益。公司调整后税率与准则税率也不同，所以不能把两个口径利润率混算。</w:t>
      </w:r>
    </w:p>
    <w:p>
      <w:r/>
    </w:p>
    <w:p>
      <w:r>
        <w:t>9. 资本开支 / 自由现金流 / 投入资本回报率（CapEx / FCF / ROIC）</w:t>
      </w:r>
    </w:p>
    <w:p>
      <w:r>
        <w:t>FY26现金资本开支 11.03亿美元，相当于收入15.5%；经营现金流减资本开支的自算自由现金流为负10.23亿，上年正1.93亿。当前重点是扩产回报的滞后能否被未来出货和回款弥补。</w:t>
      </w:r>
    </w:p>
    <w:p>
      <w:r>
        <w:t>投入资本回报率（ROIC）采用可复算、含并购成本的研究口径：税后经营利润（NOPAT）=美国准则口径经营利润（EBIT）×(1−19%标准化税率)；投入资本=合并权益含少数股东+夹层优先股+账面债务−非受限现金−短投。分母取FY25、FY26年末平均，保留商誉及无形资产，不扣受限现金，不加入租赁。两期投入资本分别约112.59亿、124.73亿美元，平均118.66亿；税后经营利润约7.27亿，自算ROIC约6.1%。用实际美国准则口径有效税率约7.2%则约7.0%，显示税率影响。</w:t>
      </w:r>
    </w:p>
    <w:p>
      <w:r>
        <w:t>这不是公司报告的ROIC，也不是稳定期回报率。19%取自公司FY26调整后正常化税率口径；美国准则口径经营利润还受出售资产收益和重组影响，不能因为每股收益增长就断言ROIC已经大幅超过资本成本。FY25优先股必须计入，否则转股会虚构资本效率变化。</w:t>
      </w:r>
    </w:p>
    <w:p>
      <w:r/>
    </w:p>
    <w:p>
      <w:r>
        <w:t>资本开支应继续拆成维持现有能力和扩张新能力，但公司没有给出足以精确分拆的完整数据，本文不虚构“维持性资本开支”。负自由现金流可能部分来自有价值的扩张，也可能提示投入节奏过快；现在能做的是跟踪资本形成后每一阶段的回报，而不是先假设所有支出都会赚钱。</w:t>
      </w:r>
    </w:p>
    <w:p>
      <w:r>
        <w:t>投入资本回报率与现金流也不是同一件事。前者观察经营利润相对投入了多少资本，后者反映当期实际收支；扩产初期，两者都可能被压低。ROIC采用保留商誉的口径，是为了把过去收购付出的代价算进去。若把商誉删掉，数字会更漂亮，却回答了另一道题。</w:t>
      </w:r>
    </w:p>
    <w:p>
      <w:r>
        <w:t>下一步最重要的是：经营现金是否摆脱库存挤压，新产能能否提高可持续营业利润，新增资本的回报有没有逐渐超过原有业务。</w:t>
      </w:r>
    </w:p>
    <w:p>
      <w:r/>
    </w:p>
    <w:p>
      <w:r>
        <w:t>10. 估值框架</w:t>
      </w:r>
    </w:p>
    <w:p>
      <w:r>
        <w:t>10月1日收319.19美元，长桥普通股市值约625.08亿美元。按FY26公司调整后稀释每股收益计算，市盈率约56.9倍；按美国准则口径稀释每股收益计算约77.5倍；市销率约8.78倍。加入债务和少数股东权益、减非受限现金及短投、不含租赁的简化企业价值约640.78亿美元，企业价值/收入约9.00倍。</w:t>
      </w:r>
    </w:p>
    <w:p>
      <w:r>
        <w:t>平台过去十二个月市盈率为81.19倍，大致对应当前市值/普通股可得利润，受转股、时点及股数口径影响，与价格/全年稀释每股收益不同。FY27 Q1调整后每股收益指引1.85至2.05美元，不能把一个季度乘四叫全年预测。自由现金流为负阶段应结合调整后利润、资本回报与正常化现金收益，少给精确目标价，多问兑现要求。</w:t>
      </w:r>
    </w:p>
    <w:p>
      <w:r/>
    </w:p>
    <w:p>
      <w:r>
        <w:t>做估值比较时，应给高速光通信、工业业务不同的增长和资本要求，而不是整家公司机械套一个热门同行倍数。分部估值法有吸引力，但没有可靠的分部自由现金流、公司费用分摊及独立资本结构，做出精确拆分目标价反而容易制造假精度。</w:t>
      </w:r>
    </w:p>
    <w:p>
      <w:r>
        <w:t>资产负债表改善也会影响倍数：优先股转股减少优先索取权，同时增加普通股；NVIDIA增资增强资金，但不会免费增加每股价值。未来估值模型应使用与预测利润一致的稀释股数，不能拿历史基本股数算高增长时期的每股价值。</w:t>
      </w:r>
    </w:p>
    <w:p>
      <w:r/>
    </w:p>
    <w:p>
      <w:r>
        <w:t>11. 牛 / 基准 / 熊三情景</w:t>
      </w:r>
    </w:p>
    <w:p>
      <w:r>
        <w:t>牛：高速模块需求持续强劲，InP和模块产能顺利放大，CPO按期形成新增收入，良率改善覆盖新增折旧，库存转成现金。关键证据是收入、毛利和经营现金流共同改善，而不是合作公告越来越多。估值有盈利上修支持，但仍有多重压缩风险。</w:t>
      </w:r>
    </w:p>
    <w:p>
      <w:r>
        <w:t>基准：可插拔模块仍是主引擎，PhotonLink逐步爬坡，扩产与备货让现金恢复慢于利润；工业贡献较平稳。利润上升可部分消化现有估值，未必带来同比例股价回报。</w:t>
      </w:r>
    </w:p>
    <w:p>
      <w:r>
        <w:t>熊：客户部署推迟、库存积压或技术切换导致价格与利用率承压，资本开支已发生却无法及时回款；增长预测和估值倍数同时下修，形成“双杀”。</w:t>
      </w:r>
    </w:p>
    <w:p>
      <w:r>
        <w:t>这些是我的未来12至24个月情景假设，不是公司指引，也不是指定概率，也没有用未经验证的盈利假设生成目标价。</w:t>
      </w:r>
    </w:p>
    <w:p>
      <w:r/>
    </w:p>
    <w:p>
      <w:r>
        <w:t>三种情景最终通过同一组问题落地：订单是否转收入、收入是否转利润、利润是否转现金、增长后每股是否更值钱。牛情景需要几项条件同时成立；熊情景则不需要AI需求消失，只要回报慢于市场原先想象就足以发生。</w:t>
      </w:r>
    </w:p>
    <w:p>
      <w:r>
        <w:t>因此，上调情景不能只凭新市场空间；下调也不应只凭股价回撤。应在季度更新时写明是哪条假设变化，避免每次涨跌都换一套故事。</w:t>
      </w:r>
    </w:p>
    <w:p>
      <w:r/>
    </w:p>
    <w:p>
      <w:r>
        <w:t>12. 核心催化剂</w:t>
      </w:r>
    </w:p>
    <w:p>
      <w:r>
        <w:t>下一次财报对FY27 Q1收入22至24亿美元、调整后毛利39.5%至41.5%的验证；CY26 Q4首批PhotonLink收入；CY27下半年NPO及scale-up项目；Sherman等扩产的良率和产量；库存释放、现金流回升及债务下降。量产进展比单次展会演示更有信息量。</w:t>
      </w:r>
    </w:p>
    <w:p>
      <w:r/>
    </w:p>
    <w:p>
      <w:r>
        <w:t>催化剂要区分强弱。明确披露的批量交付和可量化收入通常强于展会演示；现金流恢复强于单次订单金额；客户确认的量产时点强于供应商自己的预测。即使是有效催化，若股价已提前大幅反映，事件发生后也可能回落。</w:t>
      </w:r>
    </w:p>
    <w:p>
      <w:r>
        <w:t>公告日期不等于收入日期：2026年9月的PhotonLink发布是产品平台的重要节点，未来季度财报中的实质销售和回款才是经济价值检验。</w:t>
      </w:r>
    </w:p>
    <w:p>
      <w:r/>
    </w:p>
    <w:p>
      <w:r>
        <w:t>13. 最大风险</w:t>
      </w:r>
    </w:p>
    <w:p>
      <w:r>
        <w:t>最大的基本面风险是先把资本和库存投入，却没有如期获得足够高质量回报。6月底账面债务32.22亿美元，非受限现金加短投19.87亿；另6.06亿受限现金主要只能用于SiC子公司，不能全当母公司偿债资金。还有客户集中、竞争降价、供应链、出口限制和工业周期。股价层面的最大风险则是高估值同时遇到盈利预期下修。</w:t>
      </w:r>
    </w:p>
    <w:p>
      <w:r/>
    </w:p>
    <w:p>
      <w:r>
        <w:t>风险可以按冲击路径排序：第一是扩产和营运资本，直接侵蚀可用现金；第二是客户和技术路线，影响收入能否持续；第三是资本结构、并购遗留和股权稀释，影响每股回报；第四是政策和周期，可能同时冲击需求、供应和估值。</w:t>
      </w:r>
    </w:p>
    <w:p>
      <w:r>
        <w:t>不能用受限资金或集团总现金掩盖流动性差别。SiC子公司有外部少数股东和专项资金，光通信扩张能调用多少现金，需要看具体法律和资金安排。账面净债务下降也不意味着以后不会重新举债。</w:t>
      </w:r>
    </w:p>
    <w:p>
      <w:r/>
    </w:p>
    <w:p>
      <w:r>
        <w:t>14. 当前市场争议</w:t>
      </w:r>
    </w:p>
    <w:p>
      <w:r>
        <w:t>多方看垂直整合和客户验证把COHR带入多年光互连扩张；空方问为何利润增长很快，自由现金流却显著为负。另一个争议是“卖掉低回报业务”到底释放价值，还是在为过去高价并购付账。2025年防务出售和2026年慕尼黑出售分别影响现金、损益及收入基数；后者当期出售收益约900万美元，但计入跨期减值后累计交易损失约9,600万美元。调整后利润和美国准则口径都要看。</w:t>
      </w:r>
    </w:p>
    <w:p>
      <w:r/>
    </w:p>
    <w:p>
      <w:r>
        <w:t>这里真正的分歧是时间与回报。多方愿意在产能形成前支付较高估值，因为担心稀缺光学能力被提前锁定；空方要求看到投入后的现金证据，因为买错扩产周期会留下闲置资产和库存。</w:t>
      </w:r>
    </w:p>
    <w:p>
      <w:r>
        <w:t>双方都可能承认AI光通信需求增长，却对交付速度、价格持续性和资本效率有不同判断。研究时应找能区分这些判断的数据，而不是反复问“AI是不是未来”。</w:t>
      </w:r>
    </w:p>
    <w:p>
      <w:r/>
    </w:p>
    <w:p>
      <w:r>
        <w:t>15. 股性特征</w:t>
      </w:r>
    </w:p>
    <w:p>
      <w:r>
        <w:t>这是一只高波动、强主题、强事件驱动的股票。长桥前复权常规日线计算，最近252个日收益的年化波动约86.6%；其中86天绝对涨跌超过5%，20天超过10%。这不是未来波动保证，但足以说明不能用稳健工业股的波动想象它。近期单日上涨10.9%也没有超出这段样本的事件型特征。</w:t>
      </w:r>
    </w:p>
    <w:p>
      <w:r/>
    </w:p>
    <w:p>
      <w:r>
        <w:t>16. 与板块的相关性</w:t>
      </w:r>
    </w:p>
    <w:p>
      <w:r>
        <w:t>用2025年10月1日至2026年10月1日252个共同交易日日收益计算，COHR与LITE相关系数约0.791，与SOXX约0.704，与QQQ约0.580。相对QQQ的样本回归beta约2.52；它是该窗口对QQQ的敏感度，不是固定市场beta。COHR与LITE一起持有可能增加共同光通信因子暴露，不能简单算成两份独立风险。相关性不说明因果，也会随窗口改变。</w:t>
      </w:r>
    </w:p>
    <w:p>
      <w:r/>
    </w:p>
    <w:p>
      <w:r>
        <w:t>相关性较高时，投资组合中的名称数量会高估分散程度。COHR、LITE和半导体指数可能同时受同一轮AI资本开支或风险偏好推动。判断分散效果，要看业务、客户和估值暴露，而不仅是代码不同。</w:t>
      </w:r>
    </w:p>
    <w:p>
      <w:r>
        <w:t>上述关系是样本统计，不是稳定定律。若未来工业业务重新变成主要变量，或不同光学路线带来份额重新分配，相关性可能下降；市场恐慌时也可能短时上升。</w:t>
      </w:r>
    </w:p>
    <w:p>
      <w:r/>
    </w:p>
    <w:p>
      <w:r>
        <w:t>17. 宏观敏感因素</w:t>
      </w:r>
    </w:p>
    <w:p>
      <w:r>
        <w:t>AI云资本开支影响模块和光器件需求；利率既影响高估值折现，也影响浮息债务；工业PMI、半导体设备和汽车周期影响工业与材料业务；贸易限制、关税、InP供应及制造地区政策影响成本和可用产能；汇率影响全球成本结构。AI需求强不等于全部业务对经济周期免疫。</w:t>
      </w:r>
    </w:p>
    <w:p>
      <w:r/>
    </w:p>
    <w:p>
      <w:r>
        <w:t>宏观变化通常有两条传导路径。一条经过客户预算、订单和供货，反映到报表相对慢；另一条直接改变折现率和主题估值，反映到股价很快。于是可能出现“当季报表还很好，股票已经下跌”的情况，也可能股价先反弹、基本面后恢复。</w:t>
      </w:r>
    </w:p>
    <w:p>
      <w:r>
        <w:t>政策亦可能利弊并存。限制某些海外竞争者，不等于COHR立刻拥有替代全部供给的能力；同一限制也可能影响材料采购、生产地区和客户需求，需要看正式条文与执行范围。</w:t>
      </w:r>
    </w:p>
    <w:p>
      <w:r/>
    </w:p>
    <w:p>
      <w:r>
        <w:t>18. 历史典型走势</w:t>
      </w:r>
    </w:p>
    <w:p>
      <w:r>
        <w:t>2024年6月3日宣布Jim Anderson接任CEO，常规收盘从前一日57.06美元到70.10美元，涨22.85%，说明管理层和整合预期本身能快速改变定价。</w:t>
      </w:r>
      <w:r>
        <w:t>CEO任命公告 (https://www.coherent.com/news/press-releases/coherent-appoints-jim-anderson-as-chief-executive-officer)</w:t>
      </w:r>
      <w:r/>
    </w:p>
    <w:p>
      <w:r>
        <w:t>2025年样本内从年初阶段高点到4月4日50.58美元，最大收盘回撤约53.1%；随后12月11日收198.50美元，显示盈利预期和风险偏好变化可带来大幅反转，不能只看年度上涨。</w:t>
      </w:r>
    </w:p>
    <w:p>
      <w:r>
        <w:t>2026年3月2日NVIDIA合作公告当日收盘上涨15.44%；6月2日收426.89美元，7月29日又到222.05美元，约48.0%回撤。8月12日盘后发布强劲业绩，翌日仍下跌7.99%，不能把“财报好”自动翻译成“股价应该涨”。这里是事件与价格共时记录，不声称解释了所有涨跌原因。</w:t>
      </w:r>
    </w:p>
    <w:p>
      <w:r/>
    </w:p>
    <w:p>
      <w:r>
        <w:t>19. 当前技术结构</w:t>
      </w:r>
    </w:p>
    <w:p>
      <w:r>
        <w:t>截至10月1日收盘319.19美元，SMA20/50/100/200分别约294.59/296.55/330.16/288.23。股价重回20、50、200日均线上方，仍低于100日线；20日线也尚低于50日线，更像较大回撤后的修复，不能称完整多头排列。</w:t>
      </w:r>
    </w:p>
    <w:p>
      <w:r>
        <w:t>RSI14按Wilder平滑约56.55；MACD(12,26,9)线0.67、信号线−0.87，短期动能改善。ATR14约21.37美元，即股价6.70%，意味着几美元的“精确支撑”没有太大意义。10月1日成交量约1,141万股，是此前20个交易日均量1.80倍。</w:t>
      </w:r>
    </w:p>
    <w:p>
      <w:r>
        <w:t>观察区域：约294至297美元是短均线聚集，约286至290美元是当日低位与200日线附近；上方约330至333美元结合100日线及9月21日高点，是值得检验的压力区。放量突破后能否保持、回撤是否缩量，比单根阳线更重要。这些是技术观察，不是止损或买卖指令。</w:t>
      </w:r>
    </w:p>
    <w:p>
      <w:r/>
    </w:p>
    <w:p>
      <w:r>
        <w:t>技术层面有三种后续路径：若突破330至333区间并在回撤中守住，修复延续的证据增加；若在该区间反复失败，则更像箱体震荡；若重新跌回286至290附近下方并伴随持续放量，近期修复需要重新评估。</w:t>
      </w:r>
    </w:p>
    <w:p>
      <w:r>
        <w:t>这些判断必须随新日线更新，不是长期固定目标。股票一天的典型真实波幅已超过20美元，技术区域应理解为概率和供需观察，而非精确的买入价或损失上限。</w:t>
      </w:r>
    </w:p>
    <w:p>
      <w:r/>
    </w:p>
    <w:p>
      <w:r>
        <w:t>20. Thesis验证清单</w:t>
      </w:r>
    </w:p>
    <w:p>
      <w:pPr>
        <w:pStyle w:val="ListBullet"/>
      </w:pPr>
      <w:r>
        <w:t>业务：800G/1.6T是否持续出货，PhotonLink从送样到确认收入是否按阶段推进</w:t>
      </w:r>
    </w:p>
    <w:p>
      <w:pPr>
        <w:pStyle w:val="ListBullet"/>
      </w:pPr>
      <w:r>
        <w:t>制造：扩产是否带来合格产出和良率，而不仅是设备数量</w:t>
      </w:r>
    </w:p>
    <w:p>
      <w:pPr>
        <w:pStyle w:val="ListBullet"/>
      </w:pPr>
      <w:r>
        <w:t>利润：毛利改善是否来自成本/组合，还是主要来自出售低毛利资产</w:t>
      </w:r>
    </w:p>
    <w:p>
      <w:pPr>
        <w:pStyle w:val="ListBullet"/>
      </w:pPr>
      <w:r>
        <w:t>现金：库存与应收增速收敛，经营现金流改善，自由现金流回正路径逐渐清楚</w:t>
      </w:r>
    </w:p>
    <w:p>
      <w:pPr>
        <w:pStyle w:val="ListBullet"/>
      </w:pPr>
      <w:r>
        <w:t>每股价值：股数、股权薪酬、优先股转换和融资后，每股可持续收益是否增长</w:t>
      </w:r>
    </w:p>
    <w:p>
      <w:pPr>
        <w:pStyle w:val="ListBullet"/>
      </w:pPr>
      <w:r>
        <w:t>资本回报：投入资本增速最终能否落后于可持续税后经营利润增长</w:t>
      </w:r>
    </w:p>
    <w:p>
      <w:r/>
    </w:p>
    <w:p>
      <w:r>
        <w:t>每次财报建议保留“上次预期—本次实际—差异原因—结论调整”四项记录。重点不是指标越多越好，而是避免把同一承诺反复算作新催化。客户验证、供货协议、首批出货和营收爬坡应有不同标签。</w:t>
      </w:r>
    </w:p>
    <w:p>
      <w:r>
        <w:t>对现金问题，可同时观察库存增速、应收回款、应付期限及现金资本开支。某一项改善可能只是把压力转移到另一项，只有组合改善才更有说服力。</w:t>
      </w:r>
    </w:p>
    <w:p>
      <w:r/>
    </w:p>
    <w:p>
      <w:r>
        <w:t>21. 哪些情况意味着逻辑证伪</w:t>
      </w:r>
    </w:p>
    <w:p>
      <w:r>
        <w:t>若光互连总需求增长，但COHR持续丢失关键客户设计位置或份额，平台优势假设受损；若产能投放后良率和现金转换长期没有改善，制造规模优势假设受损；若CPO/NPO反复延后且缺少付费交付证据，第二增长曲线需下调；若扩产依赖持续大额股权融资、每股经济回报被稀释，股东价值假设需重估。</w:t>
      </w:r>
    </w:p>
    <w:p>
      <w:r>
        <w:t>单季波动或跌破均线不自动证伪业务。需要区分暂时延期、产业整体放缓和公司竞争力损伤，并在出现新证据时修改假设。</w:t>
      </w:r>
    </w:p>
    <w:p>
      <w:r/>
    </w:p>
    <w:p>
      <w:r>
        <w:t>证伪应针对原先的核心假设。比如客户部署延迟一季但合同和需求仍在，通常是估值与兑现时间调整；产品长期达不到良率，或客户已转向别家，才可能是竞争优势失效。公司继续增长，也不保证股票投资逻辑不被证伪：若必须投入更多资本、不断稀释股东才能换增长，每股价值仍可能恶化。</w:t>
      </w:r>
    </w:p>
    <w:p>
      <w:r/>
    </w:p>
    <w:p>
      <w:r>
        <w:t>22. 最新动态</w:t>
      </w:r>
    </w:p>
    <w:p>
      <w:r>
        <w:t>3月NVIDIA普通股投资20亿美元并签多年、非独家供货安排；6月公布Sherman扩建及拟议CHIPS资助；8月公布FY26业绩和FY27 Q1指引；9月21日发布PhotonLink。各自对应融资、规划、历史结果和商业化目标，不能混为已实现收入。</w:t>
      </w:r>
    </w:p>
    <w:p>
      <w:r>
        <w:t>10月1日上涨10.90%，长桥报道同时提到分析师覆盖和中国3.2T模块可能受限的市场传闻。该报道明确使用传闻/可能措辞，本档案不把它写成已生效政策。</w:t>
      </w:r>
      <w:r>
        <w:t>长桥当日报道 (https://longbridge.com/news/300743116)</w:t>
      </w:r>
      <w:r/>
    </w:p>
    <w:p>
      <w:r/>
    </w:p>
    <w:p>
      <w:r>
        <w:t>我目前对COHR的理解</w:t>
      </w:r>
    </w:p>
    <w:p>
      <w:r>
        <w:t>它已经证明光通信需求能带来规模增长，也拥有少见的跨环节制造积累。还没充分证明的是，在高资本开支、库存和并购遗留成本之后，这套平台能持续给普通股股东留下多高回报。</w:t>
      </w:r>
    </w:p>
    <w:p>
      <w:r>
        <w:t>因此我会把它当成需要逐季跟踪资本转换的成长型制造公司。研究焦点是三道题：新技术能否持续赢得付费客户；产能是否按成本和良率要求交付；最后每股自由现金流是否跟上增长。这个顺序比“又一家AI受益股”更能解释它的长期价值。</w:t>
      </w:r>
    </w:p>
    <w:p>
      <w:r/>
    </w:p>
    <w:p>
      <w:r/>
    </w:p>
    <w:p>
      <w:r/>
    </w:p>
    <w:p>
      <w:r>
        <w:t>数据口径：</w:t>
      </w:r>
      <w:r>
        <w:t>长桥COHR行情入口 (https://longbridge.com/en/quote/COHR.US)</w:t>
      </w:r>
      <w:r>
        <w:t>。技术数据为长桥2024年1月2日至2026年10月1日前复权、常规时段日OHLCV共690根。波动率采用252日日收益样本标准差×√252；相关性使用252个共同日期的收盘简单收益；ATR/RSI用14日Wilder平滑，均量排除当日。长桥未带明确预测年度和美国准则口径属性的每股收益序列未用于前瞻估值。AI纯收入、速率产品收入、PhotonLink独立利润与完整订单额仍是披露缺口。</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