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20"/>
        <w:jc w:val="left"/>
      </w:pPr>
      <w:r>
        <w:rPr>
          <w:rFonts w:ascii="Noto Sans CJK SC" w:hAnsi="Noto Sans CJK SC" w:eastAsia="Noto Sans CJK SC"/>
          <w:b/>
          <w:color w:val="1F4E79"/>
          <w:sz w:val="76"/>
        </w:rPr>
        <w:t>IREN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2937"/>
          <w:sz w:val="50"/>
        </w:rPr>
        <w:t>个股研究档案</w:t>
      </w:r>
    </w:p>
    <w:p>
      <w:pPr>
        <w:spacing w:after="440"/>
      </w:pPr>
      <w:r>
        <w:rPr>
          <w:rFonts w:ascii="Noto Sans CJK SC" w:hAnsi="Noto Sans CJK SC" w:eastAsia="Noto Sans CJK SC"/>
          <w:color w:val="6B7280"/>
          <w:sz w:val="26"/>
        </w:rPr>
        <w:t>AI Cloud 转型、数据中心电力资产与资本回报框架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sz="4" w:val="single" w:color="C8D3E0"/>
            </w:tcBorders>
            <w:shd w:fill="F4F8FC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研究日期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sz="4" w:val="single" w:color="C8D3E0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9"/>
              </w:rPr>
              <w:t>2026年9月27日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sz="4" w:val="single" w:color="C8D3E0"/>
            </w:tcBorders>
            <w:shd w:fill="F4F8FC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当前股价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sz="4" w:val="single" w:color="C8D3E0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9"/>
              </w:rPr>
              <w:t>44.13美元（2026-09-25收盘）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sz="4" w:val="single" w:color="C8D3E0"/>
            </w:tcBorders>
            <w:shd w:fill="F4F8FC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研究框架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sz="4" w:val="single" w:color="C8D3E0"/>
            </w:tcBorders>
          </w:tcPr>
          <w:p>
            <w:r>
              <w:rPr>
                <w:rFonts w:ascii="Noto Sans CJK SC" w:hAnsi="Noto Sans CJK SC" w:eastAsia="Noto Sans CJK SC"/>
                <w:color w:val="1F2937"/>
                <w:sz w:val="19"/>
              </w:rPr>
              <w:t>22项个股档案 + Thesis验证清单</w:t>
            </w:r>
          </w:p>
        </w:tc>
      </w:tr>
    </w:tbl>
    <w:p>
      <w:pPr>
        <w:spacing w:after="400" w:line="300" w:lineRule="auto"/>
      </w:pPr>
      <w:r>
        <w:rPr>
          <w:rFonts w:ascii="Noto Sans CJK SC" w:hAnsi="Noto Sans CJK SC" w:eastAsia="Noto Sans CJK SC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IREN 正从比特币矿商重构为“电力 + 数据中心 + GPU + 软件”的垂直整合 AI Cloud（AI云）平台。当前投资核心不再是比特币价格，而是容量交付、ARR（年化运行收入）转化为实际收入，以及巨额资本投入最终能否形成正向 FCF（自由现金流）和 ROIC（投入资本回报率）。</w:t>
            </w:r>
          </w:p>
        </w:tc>
      </w:tr>
    </w:tbl>
    <w:p>
      <w:pPr>
        <w:spacing w:after="20"/>
      </w:pPr>
    </w:p>
    <w:p>
      <w:pPr>
        <w:spacing w:before="480" w:after="0"/>
      </w:pPr>
      <w:r>
        <w:rPr>
          <w:rFonts w:ascii="Noto Sans CJK SC" w:hAnsi="Noto Sans CJK SC" w:eastAsia="Noto Sans CJK SC"/>
          <w:color w:val="6B7280"/>
          <w:sz w:val="16"/>
        </w:rPr>
        <w:t>研究用途：个人投资研究与跟踪。数据口径以公司披露、SEC文件和行情数据为准。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核心结论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商业模式已经发生质变：FY26全年收入仍约82%来自比特币挖矿，但FY26 Q4 AI Cloud收入已超过当季总收入一半，公司计划在2026年底前基本完成向AI Cloud的业务重心迁移。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真正稀缺资产是电力和可开发数据中心容量，而非GPU本身。公司披露约5GW电力连接/开发资源，这使IREN同时具备Neocloud（新型AI云）和Powered Data Center（有电的数据中心资产）属性。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大客户合同验证了交付能力。Microsoft约97亿美元、NVIDIA约34亿美元等合同，使IREN从“AI故事”进入“AI交付兑现期”。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约40亿美元Contracted ARR（已签约年化运行收入）不是40亿美元GAAP收入。ARR只是运行率口径，必须继续追踪上线节奏、利用率、折扣、合同期限和实际收入确认。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资本强度极高。FY26核心计算硬件和数据中心投资现金支出约43.3亿美元，表面经营现金流约21亿美元中又有大量客户预付款，因此公司仍处于重资本扩张而非成熟自由现金流阶段。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当前估值的本质是“未来1-2年收入兑现率×资本回报率”。核心变量不是EPS，而是IT MW上线速度 → ARR → Revenue（收入）→ FCF/ROIC。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关键指标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0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9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股价（9/25收盘）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$44.13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当前行情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市值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约$17.4B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长桥行情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FY26收入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$707.0M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同比约+41%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FY26 AI Cloud收入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$128.8M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约占18.2%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FY26 Bitcoin收入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$578.2M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约占81.8%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FY26净利润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-$702.6M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受大额资产减值影响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FY26 Adjusted EBITDA（调整后EBITDA）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$245.7M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仍主要反映转型期业务混合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现金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约$5.90B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FY26期末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有息债务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约$7.59B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资本结构快速扩张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已签2026容量ARR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约$4B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不等于GAAP收入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当前已运营ARR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约$1B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公司披露口径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全球电力资源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约5GW+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不同成熟度的连接/开发资源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2026目标交付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约0.3GW IT负载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容量基本售出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2027目标交付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约0.8GW IT负载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执行为核心变量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940000" cy="2911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en_revenue_m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B7280"/>
          <w:sz w:val="17"/>
        </w:rPr>
        <w:t>图1：FY26收入结构仍以挖矿为主，但Q4 AI Cloud已超过当季收入一半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业务链条：为什么IREN与一般GPU租赁公司不同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20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  <w:shd w:fill="DCEAF7"/>
            <w:tcBorders>
              <w:top w:sz="5" w:val="single" w:color="C8D3E0"/>
              <w:left w:sz="5" w:val="single" w:color="C8D3E0"/>
              <w:bottom w:sz="5" w:val="single" w:color="C8D3E0"/>
              <w:right w:sz="5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电力资源</w:t>
            </w:r>
          </w:p>
        </w:tc>
        <w:tc>
          <w:tcPr>
            <w:tcW w:type="dxa" w:w="283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7"/>
              </w:rPr>
              <w:t>→</w:t>
            </w:r>
          </w:p>
        </w:tc>
        <w:tc>
          <w:tcPr>
            <w:tcW w:type="dxa" w:w="1020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  <w:shd w:fill="DCEAF7"/>
            <w:tcBorders>
              <w:top w:sz="5" w:val="single" w:color="C8D3E0"/>
              <w:left w:sz="5" w:val="single" w:color="C8D3E0"/>
              <w:bottom w:sz="5" w:val="single" w:color="C8D3E0"/>
              <w:right w:sz="5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土地/变电站</w:t>
            </w:r>
          </w:p>
        </w:tc>
        <w:tc>
          <w:tcPr>
            <w:tcW w:type="dxa" w:w="283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7"/>
              </w:rPr>
              <w:t>→</w:t>
            </w:r>
          </w:p>
        </w:tc>
        <w:tc>
          <w:tcPr>
            <w:tcW w:type="dxa" w:w="1020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  <w:shd w:fill="DCEAF7"/>
            <w:tcBorders>
              <w:top w:sz="5" w:val="single" w:color="C8D3E0"/>
              <w:left w:sz="5" w:val="single" w:color="C8D3E0"/>
              <w:bottom w:sz="5" w:val="single" w:color="C8D3E0"/>
              <w:right w:sz="5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数据中心</w:t>
            </w:r>
          </w:p>
        </w:tc>
        <w:tc>
          <w:tcPr>
            <w:tcW w:type="dxa" w:w="283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7"/>
              </w:rPr>
              <w:t>→</w:t>
            </w:r>
          </w:p>
        </w:tc>
        <w:tc>
          <w:tcPr>
            <w:tcW w:type="dxa" w:w="1020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  <w:shd w:fill="DCEAF7"/>
            <w:tcBorders>
              <w:top w:sz="5" w:val="single" w:color="C8D3E0"/>
              <w:left w:sz="5" w:val="single" w:color="C8D3E0"/>
              <w:bottom w:sz="5" w:val="single" w:color="C8D3E0"/>
              <w:right w:sz="5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GPU/网络</w:t>
            </w:r>
          </w:p>
        </w:tc>
        <w:tc>
          <w:tcPr>
            <w:tcW w:type="dxa" w:w="283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7"/>
              </w:rPr>
              <w:t>→</w:t>
            </w:r>
          </w:p>
        </w:tc>
        <w:tc>
          <w:tcPr>
            <w:tcW w:type="dxa" w:w="1020"/>
            <w:vAlign w:val="center"/>
            <w:tcMar>
              <w:top w:w="120" w:type="dxa"/>
              <w:start w:w="30" w:type="dxa"/>
              <w:bottom w:w="120" w:type="dxa"/>
              <w:end w:w="30" w:type="dxa"/>
            </w:tcMar>
            <w:shd w:fill="DCEAF7"/>
            <w:tcBorders>
              <w:top w:sz="5" w:val="single" w:color="C8D3E0"/>
              <w:left w:sz="5" w:val="single" w:color="C8D3E0"/>
              <w:bottom w:sz="5" w:val="single" w:color="C8D3E0"/>
              <w:right w:sz="5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AI Cloud软件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核心判断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IREN更像“电力/数据中心资产向上整合成GPU云”，而CRWV更像“GPU云向下整合基础设施”。这意味着IREN长期价值底座更偏Power + Infrastructure（电力 + 基础设施），但也承担更高的建设执行和资本回报风险。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目录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1. 一句话看懂公司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2. 商业模式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3. 收入结构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4. 行业地位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5. 核心竞争力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6. 主要竞争对手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7. 未来12-24个月增长逻辑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8. 核心财务指标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9. CapEx / FCF / ROIC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10. 估值框架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11. 牛 / 基准 / 熊三情景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12. 核心催化剂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13. 最大风险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14. 当前市场争议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15. 股性特征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16. 与板块相关性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17. 宏观敏感因素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18. 历史典型走势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19. 当前技术结构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20. Thesis验证清单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21. 哪些情况意味着逻辑证伪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22. 最新动态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附录A. IREN vs CRWV vs NBIS定位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附录B. Thesis跟踪卡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sz w:val="19"/>
        </w:rPr>
        <w:t>数据来源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1. 一句话看懂公司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IREN是一家由比特币矿商转型而来的、拥有自有电力与数据中心基础设施的垂直整合AI Cloud（AI云）公司。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投资本质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未来要用“AI基础设施平台”的方法看IREN：不是只看GPU数量，而是看电力→数据中心→GPU→软件这一整条链能否持续把MW（兆瓦）转化为收入、现金流和资本回报。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2. 商业模式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传统业务：Bitcoin Mining（比特币挖矿）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低成本电力驱动ASIC矿机挖矿，产出的比特币通常兑换为美元。该业务历史上贡献绝大部分收入，但公司正主动缩减并释放电力与机房资源给AI Cloud。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未来核心：AI Cloud（AI云）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客户签订中长期算力合同后，IREN建设数据中心、采购NVIDIA GPU、部署GPU Cluster（GPU集群），并通过Bare Metal（裸金属服务器）或Managed Cloud（托管云服务）向客户收费。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公司力图控制三层：Data Center Layer（数据中心层）、Compute Layer（计算层）、Software Layer（软件层）。如果软件层和托管服务占比提升，单位MW的收入和毛利率都有上升空间。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3. 收入结构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FY26业务</w:t>
            </w:r>
          </w:p>
        </w:tc>
        <w:tc>
          <w:tcPr>
            <w:tcW w:type="dxa" w:w="28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收入</w:t>
            </w:r>
          </w:p>
        </w:tc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Bitcoin Mining（比特币挖矿）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$578.2M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81.8%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AI Cloud（AI云）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$128.8M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18.2%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合计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$707.0M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100%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静态看FY26全年仍像“矿股”；动态看则完全不同：FY26 Q4 AI Cloud收入约70.5M美元，Bitcoin收入约66.7M美元，AI Cloud首次占当季收入过半。因此不能再用全年收入占比给公司贴“矿股”标签。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判断方法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存量财报仍带有矿业历史包袱，但增量收入已经进入Neocloud（新型AI云）阶段。后续应把AI Cloud季度收入和上线ARR作为核心领先指标。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4. 行业地位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AI基础设施可以粗略分为三层：Hyperscaler（超大规模云厂商，例如AWS/Azure/GCP）→ Neocloud（新型AI云，例如CRWV/NBIS/IREN）→ Powered Data Center（有电的数据中心资产，例如CIFR/WULF等）。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IREN的特殊性在于同时横跨Neocloud和Powered Data Center两层：它既提供GPU算力与云服务，又掌握底层电力、土地、变电站和数据中心建设。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5. 核心竞争力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竞争力</w:t>
            </w:r>
          </w:p>
        </w:tc>
        <w:tc>
          <w:tcPr>
            <w:tcW w:type="dxa" w:w="7143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逻辑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电力资源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约5GW电力连接/开发资源。AI数据中心瓶颈越来越从“拿GPU”转向“拿到稳定电力”。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垂直整合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从土地、电网、变电站、数据中心、冷却到GPU、网络、软件尽量自控，理论上可降低中间成本并提高建设可控性。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大客户验证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Microsoft、NVIDIA及多家AI公司合同提高了公司信用度和交付可信度。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融资能力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大型GPU融资与客户预付款降低了单个项目对普通股融资的直接依赖。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软件能力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Mirantis等能力有助于从Bare Metal向Managed Cloud上移，提高客户粘性和潜在毛利率。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6. 主要竞争对手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公司/类别</w:t>
            </w:r>
          </w:p>
        </w:tc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5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与IREN关系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CRWV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Neocloud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最直接：GPU云能力更强、规模更大；IREN的底层电力资产更重。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NBIS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Neocloud / AI Cloud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最直接：市场更偏软件/云平台估值；IREN更强调自有基础设施。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Lambda / Crusoe / Fluidstack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Cloud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GPU集群与AI客户竞争。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AWS / Azure / GCP / OCI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Hyperscaler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上层云平台竞争，同时也可能成为大型客户。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APLD / CORZ / CIFR / WULF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AI数据中心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争夺电力、土地、融资和长期客户。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7. 未来12-24个月增长逻辑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2026年底：约0.3GW IT Capacity（IT设备负载容量）进入交付，约40亿美元Contracted ARR对应的容量基本售出。核心从“签约”转向“交付”。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2027年：目标累计约0.8GW IT容量。如果新容量继续获得中长期AI合同，收入规模将显著扩张。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软件化：通过Managed Cloud（托管云）、编排、监控、生命周期管理等软件能力，提高单位GPU和单位MW的附加值。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未来12-24个月的真正主线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不是“再签一个大合同”这么简单，而是：按期交付 → 利用率爬升 → ARR转实际收入 → 形成稳定毛利 → 证明项目级ROIC。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8. 核心财务指标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FY26</w:t>
            </w:r>
          </w:p>
        </w:tc>
        <w:tc>
          <w:tcPr>
            <w:tcW w:type="dxa" w:w="408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营业收入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$707.0M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同比约+41%</w:t>
            </w:r>
          </w:p>
        </w:tc>
      </w:tr>
      <w:t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AI Cloud收入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$128.8M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上一年约$16.4M，增速极高</w:t>
            </w:r>
          </w:p>
        </w:tc>
      </w:tr>
      <w:t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Bitcoin收入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$578.2M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仍为FY26主要收入来源</w:t>
            </w:r>
          </w:p>
        </w:tc>
      </w:tr>
      <w:t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净利润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-$702.6M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包含约$638.8M资产减值影响</w:t>
            </w:r>
          </w:p>
        </w:tc>
      </w:tr>
      <w:t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Adjusted EBITDA（调整后EBITDA）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$245.7M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FY25约$269.7M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FY26净亏损很大，但不能直接等同于核心经营恶化。公司主动淘汰矿机、退出旧矿业资产形成大额减值。真正需要观察的是AI Cloud收入、毛利、运营费用和资本回报能否随容量上线而改善。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9. CapEx / FCF / ROIC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CapEx（资本开支）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FY26计算硬件相关投资约13.35亿美元，物业/厂房/数据中心等约29.98亿美元，核心投资现金支出合计约43.3亿美元。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FCF（自由现金流）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FY26经营现金流约+21亿美元，但其中约18.4亿美元与AI客户预付款形成的Deferred Revenue（递延收入）有关。若用传统“经营现金流-资本开支”计算，自由现金流约为-22亿美元；若进一步在分析层面剔除预付款，则现金消耗程度更高。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7ED"/>
            <w:tcBorders>
              <w:top w:sz="8" w:val="single" w:color="A15C00"/>
              <w:left w:sz="10" w:val="single" w:color="A15C00"/>
              <w:bottom w:sz="8" w:val="single" w:color="A15C00"/>
              <w:right w:sz="8" w:val="single" w:color="A15C0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15C00"/>
                <w:sz w:val="21"/>
              </w:rPr>
              <w:t>关键理解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客户预付款不是坏事，反而说明项目融资能力很强；但它意味着“经营现金流高”不能直接解释为成熟业务已经自我造血。当前IREN仍是客户预付款 + 债务融资 + 股权资本共同提前建设未来收入。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ROIC（投入资本回报率）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当前传统ROIC参考价值有限：大量数据中心和GPU资本已经投入，但相应收入尚未完全上线。更应该看Cohort ROIC（按项目批次的投入资本回报）：每个客户/集群投了多少钱、每年贡献多少收入和利润、GPU寿命多长、几年的回收期。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公司曾披露部分近期合同Revenue / IT MW（每兆瓦收入）超过2,000万美元，项目回收期估计约2年；但这更接近项目级回收期，不等于集团层面的完整ROIC。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10. 估值框架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IREN目前不适合用传统PE作为核心估值工具，因为净利润被转型期折旧、减值和融资结构严重扰动。更合适的框架是EV / Revenue、EV / Contracted ARR，以及成熟项目的ROIC与FCF。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4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4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粗略值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当前市值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约$17.4B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债务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约$7.6B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现金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约$5.9B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粗略EV（企业价值）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约$19.1B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2026 Contracted ARR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约$4B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粗略EV / Contracted ARR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约4.8×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估值陷阱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不要把4B美元ARR直接当成4B美元收入。ARR是年化运行率指标，实际GAAP收入取决于上线日期、利用率、合同折扣、服务结构和收入确认节奏。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11. 牛 / 基准 / 熊三情景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464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核心假设</w:t>
            </w:r>
          </w:p>
        </w:tc>
        <w:tc>
          <w:tcPr>
            <w:tcW w:type="dxa" w:w="30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估值含义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牛情景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2026约4B ARR按期上线；2027 0.8GW基本按计划交付；GPU算力定价保持强势；Managed Cloud占比上升。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收入与资本回报同时兑现，估值可向AI Cloud/平台型公司靠拢。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基准情景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大部分项目按期，少量延期；FY27收入快速增长但低于ARR；资本开支持续较高。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估值随收入兑现逐步消化，波动仍大。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熊情景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建设延期；GPU租赁价格下降；融资成本高企；客户集中度或信用风险上升。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ARR折价、回收期拉长，资本开支和债务成为估值压制。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如果做纯示意而非目标价，可以用FY28 Revenue × EV/Sales：熊情景约4.5B美元收入×3倍；基准约6.5-7B×4倍；牛情景约8B+×5倍。最大的误差源不是3倍还是5倍，而是FY27-FY28实际收入能否兑现。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12. 核心催化剂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Horizon 2-4按期交付并开始收入确认。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2027新客户和新容量签约。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AI Cloud季度收入连续跳升。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0.8GW 2027建设目标按节奏推进。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Managed Cloud订单增加，软件层价值体现。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新的Hyperscaler（超大规模云）合同或更高等级客户。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GPU融资利率下降或融资结构进一步优化。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13. 最大风险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803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施工/交付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数据中心是实体基础设施，延期直接推迟收入并拖累资本回报。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AI算力价格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GPU供给增加可能压低GPU/hour价格，拉长项目回收期。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GPU经济折旧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会计折旧可能慢于实际技术迭代，旧GPU残值不确定。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融资/杠杆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债务规模快速扩大，长端利率与信用利差会直接影响资本成本。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股权稀释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扩张期可能继续使用股票融资，必须跟踪每股价值而不是只看企业规模。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客户集中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大型合同有利于融资，但单一大客户占比过高会增加集中度风险。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14. 当前市场争议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40亿美元ARR到底值多少钱？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多头强调合同已签、客户质量高；谨慎方强调ARR不是GAAP收入。最好的验证不是争论，而是看每个季度有多少ARR真正转成收入与现金毛利。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约2年项目回收期是否可持续？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如果GPU租赁价格下行、设备利用率不满或客户议价增强，回收期会拉长。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IREN是AI Cloud公司还是高杠杆数据中心开发商？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若软件层、客户服务和云能力提升，估值可向平台型公司靠拢；若主要靠重资产建设与租赁，估值上限会更接近基础设施公司。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2937"/>
          <w:sz w:val="23"/>
        </w:rPr>
        <w:t>5GW到底有多大价值？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5GW Pipeline（开发储备）不等于5GW可盈利资产。每个项目仍需许可、电网接入、光纤、冷却、GPU、融资和客户。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15. 股性特征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IREN属于高Beta、高事件驱动、高CapEx、高叙事弹性的股票。它对Risk-on（风险偏好上升）和AI基础设施板块情绪非常敏感，单日大幅波动并不罕见。更适合“趋势 + 催化剂 + 板块同步”的交易框架，而不是简单低吸高抛。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交易层面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IREN的期权IV通常会显著高于成熟大型科技股。做买方Call时尤其需要“关键位突破 + 回踩确认 + 板块同步”，否则很容易同时承受方向错、时间价值损耗和IV回落。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16. 与板块相关性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IREN正在从BTC矿股逐步切换为AI Infrastructure（AI基础设施）+ Neocloud（新型AI云）股票。后续板块对照应优先看CRWV、NBIS、APLD、CIFR、WULF，并结合NVDA、AVGO等AI算力核心链条。Bitcoin对它的解释力预计继续下降，但在矿业完全退出前仍不能忽略。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17. 宏观敏感因素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宏观变量</w:t>
            </w:r>
          </w:p>
        </w:tc>
        <w:tc>
          <w:tcPr>
            <w:tcW w:type="dxa" w:w="669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传导路径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AI CapEx周期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最重要。Hyperscaler是否继续大幅增加AI资本开支决定行业总需求。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利率/信用环境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重资本扩张需要持续融资，利率上升会抬高WACC（加权平均资本成本）。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GPU供应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供给短缺利于租赁价格；供给宽松有利于采购但可能压低算力价格。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电力价格/电网政策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直接影响数据中心竞争力与项目可开发性。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Bitcoin</w:t>
            </w:r>
          </w:p>
        </w:tc>
        <w:tc>
          <w:tcPr>
            <w:tcW w:type="dxa" w:w="66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影响仍存在，但预计随挖矿退出逐步弱化。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18. 历史典型走势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IREN经历了明显的估值身份切换：早期是Bitcoin Miner（比特币矿商）；随后市场开始给予AI Data Center Optionality（AI数据中心期权价值）；大型AI合同落地后，逐步进入“Neocloud + 数据中心基础设施”估值阶段。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这意味着历史股价不能只按BTC周期复盘。2025-2026之后，重大AI合同、数据中心建设、GPU融资和客户交付已经成为更重要的价格驱动。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19. 当前技术结构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4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技术指标</w:t>
            </w:r>
          </w:p>
        </w:tc>
        <w:tc>
          <w:tcPr>
            <w:tcW w:type="dxa" w:w="464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2026-09-25收盘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$44.13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MA20（20日均线）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$43.29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MA50（50日均线）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$41.21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MA200（200日均线）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$45.59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20日高点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$49.37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20日低点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$34.81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约120日高点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$70.71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约120日低点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$28.93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当前股价站在20日和50日均线之上，但仍在200日均线附近受压，属于“短中期修复、长期趋势尚未完全确认”。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价格区域</w:t>
            </w:r>
          </w:p>
        </w:tc>
        <w:tc>
          <w:tcPr>
            <w:tcW w:type="dxa" w:w="56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技术含义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49-50美元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第一核心压力区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45.5-46.5美元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MA200 + 短线压力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43美元附近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MA20，短线强弱分界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41美元附近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MA50，中期结构支撑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39-40美元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结构支撑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34-36美元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中期重要防线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20. Thesis验证清单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Horizon 2-4是否按时交付。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约4B美元Contracted ARR是否逐季转化为实际Revenue（收入）。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AI Cloud季度收入与毛利是否持续上升。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2027约0.8GW建设是否按计划推进。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Revenue / MW是否仍能维持高水平。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新合同中客户预付款比例是否维持较高水平。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GPU融资利率与期限是否改善。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sz w:val="20"/>
        </w:rPr>
        <w:t>债务与股本稀释速度是否低于收入和现金流增长速度。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C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最关键的三段传导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容量交付 → ARR转Revenue → Revenue转FCF/ROIC。只要其中任何一段长期断裂，估值就需要明显下修。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21. 哪些情况意味着逻辑证伪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Horizon 2-4出现连续、显著延期。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2026年底实际运营ARR明显低于公司约4B美元目标。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Revenue / MW持续下降，说明单位电力的商业价值下滑。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GPU项目回收期由约2年持续拉长至4年以上。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AI Cloud收入增长明显慢于投入资本增长。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持续大规模发行股票填补资金缺口，导致每股价值被摊薄。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客户预付款显著下降，而IREN需要自行承担更多GPU CapEx。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color w:val="B42318"/>
          <w:sz w:val="20"/>
        </w:rPr>
        <w:t>2027容量目标明显下修或融资无法覆盖建设计划。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0"/>
            <w:tcBorders>
              <w:top w:sz="8" w:val="single" w:color="B42318"/>
              <w:left w:sz="10" w:val="single" w:color="B42318"/>
              <w:bottom w:sz="8" w:val="single" w:color="B42318"/>
              <w:right w:sz="8" w:val="single" w:color="B42318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2318"/>
                <w:sz w:val="21"/>
              </w:rPr>
              <w:t>最危险组合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CapEx ↑ + Debt ↑ + Shares ↑，但Revenue和Cash Flow不上升。只要连续几个季度出现这种组合，就不能再用“建设期”解释。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22. 最新动态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截至2026年9月27日，最新关键基本面仍围绕FY26结果和2026-2027交付计划：公司披露约40亿美元2026容量对应Contracted ARR、约10亿美元已运营ARR；2026容量大体售完；Horizon 1已交付Microsoft，Horizon 2进入调试，Horizon 3-4处于建设后期；2027目标约0.8GW IT容量。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市场目前的核心分歧已经从“IREN能不能做AI”转向“AI合同单位经济是否可持续、能否按时交付、资本结构是否健康”。这是一种更成熟但也更苛刻的定价阶段。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附录A：IREN vs CRWV vs NBIS定位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核心定位</w:t>
            </w:r>
          </w:p>
        </w:tc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主要优势</w:t>
            </w:r>
          </w:p>
        </w:tc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核心风险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IREN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电力/数据中心向上整合成AI Cloud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电力资源、垂直整合、项目融资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建设执行、资本强度、GPU价格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CRWV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GPU云向下整合基础设施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客户规模、GPU云运营、Hyperscaler级需求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高杠杆、客户集中、资本回报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NBIS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更偏AI Cloud/软件平台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软件/云平台属性、市场成长预期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估值高、兑现预期高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行情快照（2026-09-25）：IREN约44.13美元、市值约174亿美元；CRWV约87.59美元、市值约483亿美元；NBIS约237.33美元、市值约651亿美元。三者不能简单用PE横向比较，更应看未来收入增速、资本强度与单位资本回报。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附录B：Thesis跟踪卡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55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当前基准</w:t>
            </w:r>
          </w:p>
        </w:tc>
        <w:tc>
          <w:tcPr>
            <w:tcW w:type="dxa" w:w="408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监控阈值/逻辑</w:t>
            </w:r>
          </w:p>
        </w:tc>
        <w:tc>
          <w:tcPr>
            <w:tcW w:type="dxa" w:w="113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6" w:val="single" w:color="C8D3E0"/>
              <w:left w:sz="6" w:val="single" w:color="C8D3E0"/>
              <w:bottom w:sz="6" w:val="single" w:color="C8D3E0"/>
              <w:right w:sz="6" w:val="single" w:color="C8D3E0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容量交付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2026约0.3GW；2027约0.8GW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绿：按期 / 黄：&lt;1季延迟 / 红：持续下修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每季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Contracted ARR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约$4B（2026容量）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关注实际运营ARR与收入确认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每季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AI Cloud收入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$128.8M（FY26全年）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连续季度高增长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每季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Revenue / MW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近期部分合同&gt;$20M/IT MW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下降需判断是定价还是结构变化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半年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项目回收期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部分合同约2年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&gt;3年警惕；&gt;4年明显恶化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半年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现金/债务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$5.9B / ~$7.6B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净债务与利息成本不能快于收入扩张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每季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股本稀释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FY26股本明显增加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每股价值增长应快于股份增长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每季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FCF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仍明显为负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随项目成熟逐步改善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  <w:tcBorders>
              <w:top w:sz="4" w:val="single" w:color="C8D3E0"/>
              <w:left w:sz="4" w:val="single" w:color="C8D3E0"/>
              <w:bottom w:sz="4" w:val="single" w:color="C8D3E0"/>
              <w:right w:sz="4" w:val="single" w:color="C8D3E0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每季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0"/>
        </w:rPr>
        <w:t>数据来源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IREN Limited FY26 Annual Report / SEC filing（截至2026-06-30年度报告）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IREN Reports FY26 Results（公司2026年8月业绩与业务更新）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IREN与Microsoft约97亿美元AI Cloud基础设施协议公告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IREN GPU融资公告（约36.5亿美元投资级GPU融资）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Longbridge行情数据：IREN / CRWV / NBIS，技术指标截至2026-09-25收盘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0"/>
        </w:rPr>
        <w:t>公司投资者关系与业务更新页面。</w:t>
      </w:r>
    </w:p>
    <w:p>
      <w:pPr>
        <w:spacing w:after="60" w:line="300" w:lineRule="auto"/>
      </w:pPr>
      <w:r>
        <w:rPr>
          <w:rFonts w:ascii="Noto Sans CJK SC" w:hAnsi="Noto Sans CJK SC" w:eastAsia="Noto Sans CJK SC"/>
          <w:b/>
        </w:rPr>
        <w:t>主要公开链接：</w:t>
      </w:r>
      <w:r>
        <w:rPr>
          <w:rFonts w:ascii="Noto Sans CJK SC" w:hAnsi="Noto Sans CJK SC" w:eastAsia="Noto Sans CJK SC"/>
        </w:rPr>
      </w:r>
    </w:p>
    <w:p>
      <w:pPr>
        <w:spacing w:after="40"/>
      </w:pPr>
      <w:r>
        <w:rPr>
          <w:rFonts w:ascii="Noto Sans CJK SC" w:hAnsi="Noto Sans CJK SC" w:eastAsia="Noto Sans CJK SC"/>
          <w:color w:val="1F4E79"/>
          <w:sz w:val="17"/>
        </w:rPr>
        <w:t>https://www.sec.gov/Archives/edgar/data/1878848/000187884826000052/iren-20260630.htm</w:t>
      </w:r>
    </w:p>
    <w:p>
      <w:pPr>
        <w:spacing w:after="40"/>
      </w:pPr>
      <w:r>
        <w:rPr>
          <w:rFonts w:ascii="Noto Sans CJK SC" w:hAnsi="Noto Sans CJK SC" w:eastAsia="Noto Sans CJK SC"/>
          <w:color w:val="1F4E79"/>
          <w:sz w:val="17"/>
        </w:rPr>
        <w:t>https://iren.gcs-web.com/news-releases/news-release-details/iren-reports-fy26-results</w:t>
      </w:r>
    </w:p>
    <w:p>
      <w:pPr>
        <w:spacing w:after="40"/>
      </w:pPr>
      <w:r>
        <w:rPr>
          <w:rFonts w:ascii="Noto Sans CJK SC" w:hAnsi="Noto Sans CJK SC" w:eastAsia="Noto Sans CJK SC"/>
          <w:color w:val="1F4E79"/>
          <w:sz w:val="17"/>
        </w:rPr>
        <w:t>https://iren.com/resources/blog/iren-signs97-billion-agreement-with-microsoft-to-deploy-ai-cloud-infrastructure</w:t>
      </w:r>
    </w:p>
    <w:p>
      <w:pPr>
        <w:spacing w:after="40"/>
      </w:pPr>
      <w:r>
        <w:rPr>
          <w:rFonts w:ascii="Noto Sans CJK SC" w:hAnsi="Noto Sans CJK SC" w:eastAsia="Noto Sans CJK SC"/>
          <w:color w:val="1F4E79"/>
          <w:sz w:val="17"/>
        </w:rPr>
        <w:t>https://iren.gcs-web.com/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/>
            <w:tcBorders>
              <w:top w:sz="8" w:val="single" w:color="1F4E79"/>
              <w:left w:sz="10" w:val="single" w:color="1F4E79"/>
              <w:bottom w:sz="8" w:val="single" w:color="1F4E79"/>
              <w:right w:sz="8" w:val="single" w:color="1F4E7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更新规则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以后说“更新IREN档案”，只需要重点检查过去两周是否出现足以改变原判断的新信息：容量交付、重大新合同、ARR/收入变化、融资与资本结构、GPU单位经济、2027容量目标，以及技术结构是否发生重要变化。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B7280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IREN 个股研究档案 | 2026-09-27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IREN个股档案</dc:title>
  <dc:subject>IREN Limited AI Cloud与数据中心基础设施研究</dc:subject>
  <dc:creator>ChatGPT</dc:creator>
  <cp:keywords>IREN, AI Cloud, Neocloud, 数据中心, 美股, 个股研究</cp:keywords>
  <dc:description>生成日期：2026-09-27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