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" w:hAnsi="Noto Sans" w:eastAsia="Noto Sans CJK SC"/>
          <w:b/>
          <w:color w:val="17233C"/>
          <w:sz w:val="52"/>
        </w:rPr>
        <w:t>AKAM｜Akamai Technologies 个股档案</w:t>
      </w:r>
    </w:p>
    <w:p>
      <w:r>
        <w:rPr>
          <w:rFonts w:ascii="Noto Sans" w:hAnsi="Noto Sans" w:eastAsia="Noto Sans CJK SC"/>
          <w:b/>
          <w:color w:val="1F4E78"/>
          <w:sz w:val="24"/>
        </w:rPr>
        <w:t>Investment Dossier｜投研版</w:t>
      </w:r>
    </w:p>
    <w:p>
      <w:r>
        <w:rPr>
          <w:rFonts w:ascii="Noto Sans" w:hAnsi="Noto Sans" w:eastAsia="Noto Sans CJK SC"/>
          <w:color w:val="666666"/>
          <w:sz w:val="18"/>
        </w:rPr>
        <w:t>截至：2026-10-05 ｜ 研究用途：理解公司、跟踪 Thesis，不构成投资建议</w:t>
      </w:r>
    </w:p>
    <w:p>
      <w:pPr>
        <w:spacing w:after="140"/>
        <w:pBdr>
          <w:bottom w:val="single" w:sz="8" w:space="1" w:color="1F4E78"/>
        </w:pBdr>
      </w:pP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核心判断：AKAM 已经不能只按“CDN 老公司”定价。它正在变成“网络安全 + 分布式云 + AI 算力基础设施”三层业务叠加的公司；真正的争议已经从“AI 云能不能做起来”转向“巨额前置 CapEx 最终能不能创造足够高的 ROIC 与 FCF”。</w:t>
      </w:r>
    </w:p>
    <w:p>
      <w:pPr>
        <w:pStyle w:val="Heading1"/>
      </w:pPr>
      <w:r>
        <w:t>首屏要点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cantSplit/>
        </w:trPr>
        <w:tc>
          <w:tcPr>
            <w:tcW w:type="dxa" w:w="408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股价（2026-10-05）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$109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市值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$15.7B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YTD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+25%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年高点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$165.45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2026 总收入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$1.100B，+5% YoY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$604M，+10%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Cloud Infrastructure Services (CIS)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$99M，+39%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Delivery + Other Cloud Applications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$396M，约 -6%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Anthropic 已承诺合同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$11.6B / 7 年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Anthropic 额外潜在扩展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最多 +$9B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已签大型 CIS 合同总额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$14.4B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Anthropic 合同相关计划 CapEx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$5.5B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基准判断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中长期偏多；短期核心矛盾是 CapEx / FCF / ROIC</w:t>
            </w:r>
          </w:p>
        </w:tc>
      </w:tr>
    </w:tbl>
    <w:p>
      <w:pPr>
        <w:spacing w:after="20"/>
      </w:pPr>
    </w:p>
    <w:p>
      <w:pPr>
        <w:pStyle w:val="Heading1"/>
      </w:pPr>
      <w:r>
        <w:t>1. 一句话看懂公司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Akamai 是从全球 CDN / 边缘网络龙头进化而来的网络安全与分布式云公司，并正在利用自己二十多年积累的全球网络、机房、企业客户和运维能力，进入 AI CPU/GPU 算力基础设施。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理解 AKAM 最好的方式：不是“旧 CDN 公司加一点云”，而是“以全球 Edge Network 为底座，把 Delivery、安全和 Compute 逐层叠上去”。</w:t>
      </w:r>
    </w:p>
    <w:p>
      <w:pPr>
        <w:pStyle w:val="Heading1"/>
      </w:pPr>
      <w:r>
        <w:t>2. 商业模式</w:t>
      </w:r>
    </w:p>
    <w:p>
      <w:pPr>
        <w:pStyle w:val="Heading2"/>
      </w:pPr>
      <w:r>
        <w:t>2.1 Security｜网络安全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包括 Web Application Firewall（WAF，Web 应用防火墙）、DDoS 防护、Bot Management（机器人流量管理）、API Security（API 安全）、Zero Trust（零信任）、Guardicore Microsegmentation（微隔离）以及 2026 年收购 LayerX 后扩展的浏览器与 AI 使用控制。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这部分具备高毛利、粘性强、续约性较好、企业级客户关系深等特征，是公司当前最稳定的利润底座。</w:t>
      </w:r>
    </w:p>
    <w:p>
      <w:pPr>
        <w:pStyle w:val="Heading2"/>
      </w:pPr>
      <w:r>
        <w:t>2.2 Delivery + Other Cloud Applications｜传统交付业务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核心是 CDN、视频/软件下载、网站和应用加速、流媒体与边缘应用。它仍能贡献规模和现金流，但长期面临单位流量价格下降、大客户自建、Hyperscaler 与 Cloudflare 等竞争。</w:t>
      </w:r>
    </w:p>
    <w:p>
      <w:pPr>
        <w:pStyle w:val="Heading2"/>
      </w:pPr>
      <w:r>
        <w:t>2.3 Cloud Infrastructure Services（CIS）｜云基础设施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包括 CPU/GPU 计算、存储、Kubernetes、AI 推理与训练相关基础设施。2022 年收购 Linode 后，Akamai 从“边缘交付公司”正式补上了通用计算层；2023 年推出 Akamai Connected Cloud；2026 年大型 AI 合同把这部分业务从战略选项推向公司级增长引擎。</w:t>
      </w:r>
    </w:p>
    <w:p>
      <w:pPr>
        <w:pStyle w:val="Heading1"/>
      </w:pPr>
      <w:r>
        <w:t>3. 收入结构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cantSplit/>
        </w:trPr>
        <w:tc>
          <w:tcPr>
            <w:tcW w:type="dxa" w:w="374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Q2 2026 业务</w:t>
            </w:r>
          </w:p>
        </w:tc>
        <w:tc>
          <w:tcPr>
            <w:tcW w:type="dxa" w:w="1814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收入</w:t>
            </w:r>
          </w:p>
        </w:tc>
        <w:tc>
          <w:tcPr>
            <w:tcW w:type="dxa" w:w="1474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同比</w:t>
            </w:r>
          </w:p>
        </w:tc>
        <w:tc>
          <w:tcPr>
            <w:tcW w:type="dxa" w:w="204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收入占比（约）</w:t>
            </w:r>
          </w:p>
        </w:tc>
      </w:tr>
      <w:tr>
        <w:trPr>
          <w:trHeight w:hRule="atLeast"/>
          <w:cantSplit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$604M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+10%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55%</w:t>
            </w:r>
          </w:p>
        </w:tc>
      </w:tr>
      <w:tr>
        <w:trPr>
          <w:trHeight w:hRule="atLeast"/>
          <w:cantSplit/>
        </w:trPr>
        <w:tc>
          <w:tcPr>
            <w:tcW w:type="dxa" w:w="374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 Infrastructure Services</w:t>
            </w:r>
          </w:p>
        </w:tc>
        <w:tc>
          <w:tcPr>
            <w:tcW w:type="dxa" w:w="181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$99M</w:t>
            </w:r>
          </w:p>
        </w:tc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+39%</w:t>
            </w:r>
          </w:p>
        </w:tc>
        <w:tc>
          <w:tcPr>
            <w:tcW w:type="dxa" w:w="204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9%</w:t>
            </w:r>
          </w:p>
        </w:tc>
      </w:tr>
      <w:tr>
        <w:trPr>
          <w:trHeight w:hRule="atLeast"/>
          <w:cantSplit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Delivery + Other Cloud Applications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$396M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 -6%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36%</w:t>
            </w:r>
          </w:p>
        </w:tc>
      </w:tr>
      <w:tr>
        <w:trPr>
          <w:trHeight w:hRule="atLeast"/>
          <w:cantSplit/>
        </w:trPr>
        <w:tc>
          <w:tcPr>
            <w:tcW w:type="dxa" w:w="3742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总收入</w:t>
            </w:r>
          </w:p>
        </w:tc>
        <w:tc>
          <w:tcPr>
            <w:tcW w:type="dxa" w:w="1814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$1.100B</w:t>
            </w:r>
          </w:p>
        </w:tc>
        <w:tc>
          <w:tcPr>
            <w:tcW w:type="dxa" w:w="1474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+5%</w:t>
            </w:r>
          </w:p>
        </w:tc>
        <w:tc>
          <w:tcPr>
            <w:tcW w:type="dxa" w:w="2041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当前 CIS 只占约 9%，但不能用“今天收入占比”判断它的重要性。管理层在 2026 年 9 月表示，当年已签大型 CIS 多年合同总价值约 $14.4B，完全爬坡后对应约 $2.2B 年化收入；其中 Anthropic 单一合同完全爬坡后预计约 $1.7B 年化收入。</w:t>
      </w:r>
    </w:p>
    <w:p>
      <w:pPr>
        <w:pStyle w:val="Heading1"/>
      </w:pPr>
      <w:r>
        <w:t>4. 行业地位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传统 CDN / Edge Delivery：历史龙头，全球网络规模与大型客户经验仍是一线。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网络安全：整体属于强二线、局部一线；DDoS、Web/API、Bot、微隔离等领域竞争力较强。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Cloud：整体规模远低于 AWS / Azure / Google Cloud，但在“分布式云、边缘算力、特定 AI 工作负载”形成差异化。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AI Infrastructure：仍是新进入者，但 2026 年的大额长期合同证明其已获得顶级 AI 客户验证。</w:t>
      </w:r>
    </w:p>
    <w:p>
      <w:pPr>
        <w:pStyle w:val="Heading1"/>
      </w:pPr>
      <w:r>
        <w:t>5. 核心竞争力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1.  全球分布式网络。Akamai 长期运营大规模 PoP、骨干网络和边缘节点，这种网络不是普通 Neocloud 可以在两三年内复制的。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2.  大型企业客户关系。客户原本就购买 Delivery 和 Security，Akamai 可以继续交叉销售 Cloud。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3.  安全能力与 Compute 结合。CRWV/APLD 等 AI Infra 公司通常没有同等级安全产品线，Akamai 可以把 API、DDoS、Zero Trust、AI 使用控制叠加到云基础设施。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4.  Core-to-Edge 分布式架构。对于低延迟推理、分布式应用、全球内容与 API 工作负载具有天然逻辑。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5.  大型项目执行能力。2026 年连续签下多年 CIS 大单，说明公司已从“小型 Linode 云”进入企业级大规模基础设施合同。</w:t>
      </w:r>
    </w:p>
    <w:p>
      <w:pPr>
        <w:pStyle w:val="Heading1"/>
      </w:pPr>
      <w:r>
        <w:t>6. 主要竞争对手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170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340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主要竞争对手</w:t>
            </w:r>
          </w:p>
        </w:tc>
        <w:tc>
          <w:tcPr>
            <w:tcW w:type="dxa" w:w="3969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AKAM 的差异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安全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Cloudflare、Palo Alto、F5、Zscaler 等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Edge 网络 + Web/API/DDoS/Zero Trust 的组合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CDN / Edge</w:t>
            </w:r>
          </w:p>
        </w:tc>
        <w:tc>
          <w:tcPr>
            <w:tcW w:type="dxa" w:w="34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Cloudflare、Fastly、AWS CloudFront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历史规模、全球企业客户、长期运维能力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AWS、Azure、Google Cloud、Oracle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更强调分布式、边缘和价格/带宽结构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AI Infrastructure</w:t>
            </w:r>
          </w:p>
        </w:tc>
        <w:tc>
          <w:tcPr>
            <w:tcW w:type="dxa" w:w="3402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CoreWeave、Nebius、Oracle、各类 Neocloud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不仅是 GPU 租赁，还包含 CPU、Edge、安全与交付网络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特别注意：不要把 AKAM 简单等同于 CRWV。Anthropic 最新大单核心是 CPU workload，而非单纯 NVIDIA GPU 租赁；AKAM 的商业形态更接近“全球网络 + CPU/GPU Compute + Security + Edge”。</w:t>
      </w:r>
    </w:p>
    <w:p>
      <w:pPr>
        <w:pStyle w:val="Heading1"/>
      </w:pPr>
      <w:r>
        <w:t>7. 未来 12–24 个月增长逻辑</w:t>
      </w:r>
    </w:p>
    <w:p>
      <w:pPr>
        <w:pStyle w:val="Heading2"/>
      </w:pPr>
      <w:r>
        <w:t>7.1 Security：稳定的第一增长发动机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Security 仍有望维持高个位数到低双位数增长。AI Agent、API 数量、机器身份和应用攻击面持续增加，反而会增加 API Security、Zero Trust、Bot/Agent Control、Browser Security 的需求。</w:t>
      </w:r>
    </w:p>
    <w:p>
      <w:pPr>
        <w:pStyle w:val="Heading2"/>
      </w:pPr>
      <w:r>
        <w:t>7.2 CIS：最重要的新增长发动机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Q2 2026 CIS 收入同比增长 39%。真正的大规模收入贡献预计从 2027 年开始，2028 年进一步爬坡。Anthropic 合同预计 2027 年贡献约 $150M–$300M，并在 2028 年底达到约 $1.7B 年化收入能力。</w:t>
      </w:r>
    </w:p>
    <w:p>
      <w:pPr>
        <w:pStyle w:val="Heading2"/>
      </w:pPr>
      <w:r>
        <w:t>7.3 业务协同：AI Compute 反向拉动 Security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如果客户把 AI 应用、API 与推理工作负载放到 Akamai Cloud 上，公司有机会把流量、计算和安全打包，从而让新云业务不仅贡献收入，也提升安全业务的交叉销售能力。</w:t>
      </w:r>
    </w:p>
    <w:p>
      <w:pPr>
        <w:pStyle w:val="Heading1"/>
      </w:pPr>
      <w:r>
        <w:t>8. 核心财务指标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cantSplit/>
        </w:trPr>
        <w:tc>
          <w:tcPr>
            <w:tcW w:type="dxa" w:w="3969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Q2 2026 / 2026 指引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Revenue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$1.100B，+5%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Non-GAAP Operating Income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$271M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Non-GAAP Operating Margin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25%（去年同期约 30%）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Adjusted EBITDA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$416M，约 -6%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Q2 Non-GAAP EPS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$1.59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Revenue guidance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$4.445B–$4.530B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Non-GAAP Operating Margin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25%–26%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2026 Non-GAAP EPS</w:t>
            </w:r>
          </w:p>
        </w:tc>
        <w:tc>
          <w:tcPr>
            <w:tcW w:type="dxa" w:w="5102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$6.40–$7.05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按约 $109 股价和 2026 年调整后 EPS 指引中值粗算，远期调整后 P/E 约 16 倍。单看 P/E 不贵，但未来两年 EPS 不是最关键变量，CapEx、FCF 与 ROIC 更重要。</w:t>
      </w:r>
    </w:p>
    <w:p>
      <w:pPr>
        <w:pStyle w:val="Heading1"/>
      </w:pPr>
      <w:r>
        <w:t>9. CapEx / FCF / ROIC</w:t>
      </w:r>
    </w:p>
    <w:p>
      <w:pPr>
        <w:pStyle w:val="Heading2"/>
      </w:pPr>
      <w:r>
        <w:t>9.1 CapEx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2025 全年 CapEx 约 $818M；2026 H1 已明显提升。Anthropic 项目计划额外投入约 $5.5B，其中公司披露的节奏大致为：Q4 2026 约 $1.7B、2027 年约 $3.1B、2028 年约 $0.7B。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这意味着 AKAM 正从过去较高现金流、较低资本强度的安全/CDN公司，进入“先大规模投入，再在未来多年回收”的资本密集型阶段。</w:t>
      </w:r>
    </w:p>
    <w:p>
      <w:pPr>
        <w:pStyle w:val="Heading2"/>
      </w:pPr>
      <w:r>
        <w:t>9.2 FCF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2026 H1 经营现金流仍为正，但随着下半年与 2027 年基础设施采购、服务器、内存和托管容量快速增加，FCF 很可能显著承压甚至阶段性转负。</w:t>
      </w:r>
    </w:p>
    <w:p>
      <w:pPr>
        <w:pStyle w:val="Heading2"/>
      </w:pPr>
      <w:r>
        <w:t>9.3 ROIC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经营利润率并不能替代 ROIC。即使大型 CIS 合同能做到 20%–30% 的 Non-GAAP Operating Margin，如果背后需要极重资本投入，股东最终回报仍取决于资产利用率、设备寿命、折旧、融资成本和合同执行。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未来两年研究 AKAM，最重要的问题不是“收入增长多少”，而是“每投入 1 美元资本，最终能创造多少可持续税后经营利润与自由现金流”。</w:t>
      </w:r>
    </w:p>
    <w:p>
      <w:pPr>
        <w:pStyle w:val="Heading1"/>
      </w:pPr>
      <w:r>
        <w:t>10. 估值框架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单一 P/E 已不足以解释 AKAM，建议采用 SOTP（分部估值）+ FCF/ROIC 校验。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187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分部</w:t>
            </w:r>
          </w:p>
        </w:tc>
        <w:tc>
          <w:tcPr>
            <w:tcW w:type="dxa" w:w="3288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估值思路</w:t>
            </w:r>
          </w:p>
        </w:tc>
        <w:tc>
          <w:tcPr>
            <w:tcW w:type="dxa" w:w="3969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核心变量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可给予较高收入倍数或利润倍数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8%–10%+ 增长、利润率、API/Zero Trust/AI Security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Delivery</w:t>
            </w:r>
          </w:p>
        </w:tc>
        <w:tc>
          <w:tcPr>
            <w:tcW w:type="dxa" w:w="3288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成熟/衰退业务，低倍数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衰退速度与现金流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CIS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以 2028–2029 收入与利润能力折现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合同兑现、CapEx、利润率、资产利用率、客户集中度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基准估值核心区间可先观察 $140–170；当前约 $109 已体现明显的资本开支、融资与执行折价。但若未来 CIS 的 ROIC 被证明偏低，低估值并不等于低风险。</w:t>
      </w:r>
    </w:p>
    <w:p>
      <w:pPr>
        <w:pStyle w:val="Heading1"/>
      </w:pPr>
      <w:r>
        <w:t>11. 牛 / 基准 / 熊三情景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1247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5556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核心假设</w:t>
            </w:r>
          </w:p>
        </w:tc>
        <w:tc>
          <w:tcPr>
            <w:tcW w:type="dxa" w:w="238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估值区间（研究框架）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熊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Anthropic 延期；CapEx 超支；Security 降速；CIS 利润率 &lt;20%；融资压力上升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$80–100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基准</w:t>
            </w:r>
          </w:p>
        </w:tc>
        <w:tc>
          <w:tcPr>
            <w:tcW w:type="dxa" w:w="5556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Security 8%–10%；Delivery 温和下滑；Anthropic 按计划启动；CIS 利润率约 25%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$140–165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牛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额外 $9B 扩展兑现；更多 AI 大客户；CIS 规模突破；ROIC 与 FCF 被验证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6"/>
              </w:rPr>
              <w:t>$190–225+</w:t>
            </w:r>
          </w:p>
        </w:tc>
      </w:tr>
    </w:tbl>
    <w:p>
      <w:pPr>
        <w:spacing w:after="20"/>
      </w:pPr>
    </w:p>
    <w:p>
      <w:pPr>
        <w:pStyle w:val="Heading1"/>
      </w:pPr>
      <w:r>
        <w:t>12. 核心催化剂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新的大型 CIS 多年合同。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Anthropic 项目建设节奏与 2027 收入启动。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额外最高 $9B 的合作扩展是否兑现。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CIS Operating Margin 和资产利用率披露改善。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Security 继续保持约 10% 增长。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市场开始看到 2027–2028 FCF 拐点。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AI Security、LayerX、API Security 等产品出现明显交叉销售。</w:t>
      </w:r>
    </w:p>
    <w:p>
      <w:pPr>
        <w:pStyle w:val="Heading1"/>
      </w:pPr>
      <w:r>
        <w:t>13. 最大风险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第一风险不是 CDN，而是资本错配。Akamai 必须提前投入数十亿美元硬件与数据中心容量，再用未来多年收入回收。如果需求、技术迭代、客户执行、硬件利用率或融资环境发生变化，ROIC 会迅速恶化。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客户集中度：Anthropic 完全爬坡后可能成为极重要单一客户。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CapEx 超支与设备过时风险。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可转债、潜在股权稀释与融资成本。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大型合同的交付、SLA、服务可用性与终止条款。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传统 Delivery 下滑速度快于 Cloud/Security 填坑速度。</w:t>
      </w:r>
    </w:p>
    <w:p>
      <w:pPr>
        <w:pStyle w:val="Heading1"/>
      </w:pPr>
      <w:r>
        <w:t>14. 当前市场争议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1.  $11.6B 合同到底值多少钱？它是 7 年收入承诺，不是利润，更不能直接与市值比较。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2.  Take-or-pay 到底有多“锁定”？合同具有较强承诺性质，但仍受交付要求、服务可用性和部分终止条款约束。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3.  为什么大单公布后股价冲高回落？市场先交易订单规模，随后快速重估 $5.5B CapEx、FCF、稀释和融资。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4.  AKAM 应该放在哪个估值桶？CDN、Cybersecurity、Cloud 还是 AI Infrastructure？目前市场没有统一答案，估值分歧由此而来。</w:t>
      </w:r>
    </w:p>
    <w:p>
      <w:pPr>
        <w:pStyle w:val="Heading1"/>
      </w:pPr>
      <w:r>
        <w:t>15. 股性特征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 过去属于相对低波动、业绩驱动的成熟科技股。2026 年以后，随着大型 AI Infrastructure 合同出现，它逐渐变成事件驱动更强的转型股：利好时会出现 AI 基建式跳空，随后又因 CapEx / FCF 重新定价。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更准确的股性定义：有安全业务底仓保护的 AI 基础设施转型股。</w:t>
      </w:r>
    </w:p>
    <w:p>
      <w:pPr>
        <w:pStyle w:val="Heading1"/>
      </w:pPr>
      <w:r>
        <w:t>16. 与板块相关性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1928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板块</w:t>
            </w:r>
          </w:p>
        </w:tc>
        <w:tc>
          <w:tcPr>
            <w:tcW w:type="dxa" w:w="2835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代表公司/资产</w:t>
            </w:r>
          </w:p>
        </w:tc>
        <w:tc>
          <w:tcPr>
            <w:tcW w:type="dxa" w:w="4309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AKAM 的联系</w:t>
            </w:r>
          </w:p>
        </w:tc>
      </w:tr>
      <w:tr>
        <w:trPr>
          <w:trHeight w:hRule="atLeast"/>
          <w:cantSplit/>
        </w:trPr>
        <w:tc>
          <w:tcPr>
            <w:tcW w:type="dxa" w:w="192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Cybersecurity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NET / PANW / CRWD / ZS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安全业务估值与增长预期</w:t>
            </w:r>
          </w:p>
        </w:tc>
      </w:tr>
      <w:tr>
        <w:trPr>
          <w:trHeight w:hRule="atLeast"/>
          <w:cantSplit/>
        </w:trPr>
        <w:tc>
          <w:tcPr>
            <w:tcW w:type="dxa" w:w="1928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Edge / CDN</w:t>
            </w:r>
          </w:p>
        </w:tc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NET / FSLY</w:t>
            </w:r>
          </w:p>
        </w:tc>
        <w:tc>
          <w:tcPr>
            <w:tcW w:type="dxa" w:w="430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传统网络与内容交付</w:t>
            </w:r>
          </w:p>
        </w:tc>
      </w:tr>
      <w:tr>
        <w:trPr>
          <w:trHeight w:hRule="atLeast"/>
          <w:cantSplit/>
        </w:trPr>
        <w:tc>
          <w:tcPr>
            <w:tcW w:type="dxa" w:w="192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AWS / Azure / GCP / ORCL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分布式云与基础设施价格竞争</w:t>
            </w:r>
          </w:p>
        </w:tc>
      </w:tr>
      <w:tr>
        <w:trPr>
          <w:trHeight w:hRule="atLeast"/>
          <w:cantSplit/>
        </w:trPr>
        <w:tc>
          <w:tcPr>
            <w:tcW w:type="dxa" w:w="1928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AI Infrastructure</w:t>
            </w:r>
          </w:p>
        </w:tc>
        <w:tc>
          <w:tcPr>
            <w:tcW w:type="dxa" w:w="2835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CRWV / NBIS / APLD / ORCL</w:t>
            </w:r>
          </w:p>
        </w:tc>
        <w:tc>
          <w:tcPr>
            <w:tcW w:type="dxa" w:w="4309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CPU/GPU/AI workload 与资本开支周期</w:t>
            </w:r>
          </w:p>
        </w:tc>
      </w:tr>
    </w:tbl>
    <w:p>
      <w:pPr>
        <w:spacing w:after="20"/>
      </w:pPr>
    </w:p>
    <w:p>
      <w:pPr>
        <w:pStyle w:val="Heading1"/>
      </w:pPr>
      <w:r>
        <w:t>17. 宏观敏感因素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利率与资本成本：资本强度上升后，WACC 与融资条件重要性大幅提升。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AI CapEx 周期：Frontier Model / Hyperscaler 若削减基础设施支出，会影响估值。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Memory 与服务器成本：Anthropic 项目明确需要提前采购关键组件，包括内存。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电力、Colocation 与数据中心可用容量。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美元汇率：国际收入仍有一定外汇敏感度。</w:t>
      </w:r>
    </w:p>
    <w:p>
      <w:pPr>
        <w:pStyle w:val="Heading1"/>
      </w:pPr>
      <w:r>
        <w:t>18. 历史典型走势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2025 年股价最低曾到约 $67.5，反映市场对 CDN 老化与云竞争力不足的悲观。2026 年上半年在 AI/Cloud 合同预期推动下，一度冲至 $165.45；随后市场开始重新计算 CapEx、利润率和 FCF，股价明显回撤。9 月 Anthropic $11.6B 合同让股价一度冲至 $128.46，但很快回到约 $109。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2026 年 AKAM 的股价路径可以概括为：发现 AI Cloud 新故事 → 估值重估 → 开始算 CapEx → 估值收缩。</w:t>
      </w:r>
    </w:p>
    <w:p>
      <w:pPr>
        <w:pStyle w:val="Heading1"/>
      </w:pPr>
      <w:r>
        <w:t>19. 当前技术结构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2835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技术位</w:t>
            </w:r>
          </w:p>
        </w:tc>
        <w:tc>
          <w:tcPr>
            <w:tcW w:type="dxa" w:w="238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约值</w:t>
            </w:r>
          </w:p>
        </w:tc>
        <w:tc>
          <w:tcPr>
            <w:tcW w:type="dxa" w:w="3969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现价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$109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处于筑底区间中部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 日均线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$109.2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基本贴近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50 日均线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$111.7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短期压制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100 日均线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$122.2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中期明显压制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200 日均线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$111.8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尚未有效收复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第一支撑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$104–106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短期观察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关键支撑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$100–102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跌破则结构明显转弱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第一阻力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$112–115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站稳才算右侧改善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重要阻力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$125–128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Anthropic 公告后的冲高区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更大阻力</w:t>
            </w:r>
          </w:p>
        </w:tc>
        <w:tc>
          <w:tcPr>
            <w:tcW w:type="dxa" w:w="2381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$145–150 / $165</w:t>
            </w:r>
          </w:p>
        </w:tc>
        <w:tc>
          <w:tcPr>
            <w:tcW w:type="dxa" w:w="3969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前期重估区与年度高点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当前定义：100–115 区间筑底，而不是明确的趋势启动。</w:t>
      </w:r>
    </w:p>
    <w:p>
      <w:pPr>
        <w:pStyle w:val="Heading1"/>
      </w:pPr>
      <w:r>
        <w:t>20. Thesis 验证清单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Security：同比增长能否维持 ≥8%，API Security / Guardicore / AI Security 是否继续强。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CIS：收入增长是否继续维持高增速，是否继续签大型客户。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Anthropic：2027 收入是否达到约 $150M–$300M；2028 年底是否接近约 $1.7B run-rate。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合同总量：当前约 $14.4B 的大型 CIS 合同储备是否继续增长。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CapEx：Anthropic 项目是否控制在约 $5.5B 规划内。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利润率：大型 CIS 合同的 Non-GAAP Operating Margin 是否能稳定在 20%–30%+。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FCF：2026–2027 可以承压，但 2028 是否能明显恢复。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融资/稀释：是否出现明显折价增发或超预期负债扩张。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Delivery：最好控制在温和下滑，避免连续 -10% 以上。</w:t>
      </w:r>
    </w:p>
    <w:p>
      <w:pPr>
        <w:pStyle w:val="Heading1"/>
      </w:pPr>
      <w:r>
        <w:t>21. 哪些情况意味着逻辑证伪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1.  Anthropic 项目延迟超过两个季度。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2.  2027 Anthropic 收入明显低于 $150M。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3.  2028 年底 run-rate 明显达不到约 $1.7B。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4.  Anthropic 项目 CapEx 大幅超过 $5.5B 且合同价值没有同步增加。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5.  CIS Operating Margin 长期低于 20%。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6.  Security 连续多个季度降到 5% 以下增长。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7.  公司需要明显折价发行大量新股解决融资问题。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8.  Anthropic 修改、取消或重谈核心合同。</w:t>
      </w:r>
    </w:p>
    <w:p>
      <w:pPr>
        <w:spacing w:after="40"/>
        <w:ind w:left="0"/>
      </w:pPr>
      <w:r>
        <w:rPr>
          <w:rFonts w:ascii="Noto Sans" w:hAnsi="Noto Sans" w:eastAsia="Noto Sans CJK SC"/>
          <w:sz w:val="20"/>
        </w:rPr>
        <w:t>9.  Delivery 持续 -10% 以上，同时 Cloud 无法填补缺口。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如果上述红线中有两个或以上同时发生，应重新评估整个投资逻辑，而不是把它简单理解为“短期波动”。</w:t>
      </w:r>
    </w:p>
    <w:p>
      <w:pPr>
        <w:pStyle w:val="Heading1"/>
      </w:pPr>
      <w:r>
        <w:t>22. 最新动态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2026 年 9 月 24 日，Akamai 宣布与 Anthropic 将合作扩大为 7 年、$11.6B 的合同承诺，用于支持 Anthropic 快速增长的 CPU workload。协议还允许最多增加 $9B 的扩展空间，使潜在总承诺接近 $20B。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作为合作的一部分，Akamai 向 Anthropic 授予与合作扩展挂钩的认股权证，潜在对应最多约 5% 的 Akamai 普通股；其中约 2% 的部分预计与本次已宣布的承诺相关。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2026 年 7 月，Akamai 完成约 $205M 收购 LayerX，将安全能力扩展到浏览器与企业 AI 使用控制。Q2 2026 财报显示，Security 仍保持 10% 增长，CIS 增长 39%，但利润率因扩张与投入承压。</w:t>
      </w:r>
    </w:p>
    <w:p>
      <w:pPr>
        <w:pStyle w:val="Heading1"/>
      </w:pPr>
      <w:r>
        <w:t>结论：现在应该如何看 AKAM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基本面：偏多；估值：开始有吸引力；技术：筑底；12–24 个月：值得重点跟踪。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 与 CRWV/NBIS 的核心差别，是它不是从零开始搭建 AI Cloud，而是在一个成熟的全球网络、安全和企业客户体系之上叠加 Compute。优势是有底仓和交叉销售能力；代价是旧业务包袱、组织复杂度，以及转型期间极高的资本开支。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 2027 年开始看到 Anthropic 确认收入、CapEx 没有失控、CIS Operating Margin 能稳定在约 25% 左右，同时 Security 仍维持健康增长，那么市场对 AKAM 的定价框架可能发生第二次跃迁：从“CDN 转型公司”真正进入“AI Infrastructure + Security Platform”。</w:t>
      </w:r>
    </w:p>
    <w:p>
      <w:r>
        <w:br w:type="page"/>
      </w:r>
    </w:p>
    <w:p>
      <w:pPr>
        <w:pStyle w:val="Heading1"/>
      </w:pPr>
      <w:r>
        <w:t>主要来源</w:t>
      </w:r>
    </w:p>
    <w:p>
      <w:r>
        <w:rPr>
          <w:rFonts w:ascii="Noto Sans" w:hAnsi="Noto Sans" w:eastAsia="Noto Sans CJK SC"/>
          <w:color w:val="666666"/>
          <w:sz w:val="19"/>
        </w:rPr>
        <w:t>说明：正文中的财务与事件数据以公司公告、SEC 文件和官方材料为主；市场价格与技术指标采用 2026-10-05 的行情快照。</w:t>
      </w:r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[1] Akamai Q2 2026 Financial Results  </w:t>
      </w:r>
      <w:hyperlink r:id="rId10">
        <w:r>
          <w:rPr>
            <w:color w:val="0563C1"/>
            <w:u w:val="single"/>
            <w:rFonts w:ascii="Noto Sans" w:hAnsi="Noto Sans" w:eastAsia="Noto Sans CJK SC"/>
          </w:rPr>
          <w:t>https://www.ir.akamai.com/news-releases/news-release-details/akamai-reports-second-quarter-2026-financial-results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[2] Akamai Announces $11.6B Multi-year Agreement with Anthropic  </w:t>
      </w:r>
      <w:hyperlink r:id="rId11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https://www.akamai.com/newsroom/press-release/akamai-announces-11-6-billion-multi-year-agreement-with-anthropic-to-support-growing-demand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[3] Akamai 2026 Q2 Form 10-Q / SEC  </w:t>
      </w:r>
      <w:hyperlink r:id="rId12">
        <w:r>
          <w:rPr>
            <w:color w:val="0563C1"/>
            <w:u w:val="single"/>
            <w:rFonts w:ascii="Noto Sans" w:hAnsi="Noto Sans" w:eastAsia="Noto Sans CJK SC"/>
          </w:rPr>
          <w:t>https://www.sec.gov/Archives/edgar/data/1086222/000108622226000086/akam-20260630.htm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[4] Akamai 2025 Form 10-K / SEC  </w:t>
      </w:r>
      <w:hyperlink r:id="rId13">
        <w:r>
          <w:rPr>
            <w:color w:val="0563C1"/>
            <w:u w:val="single"/>
            <w:rFonts w:ascii="Noto Sans" w:hAnsi="Noto Sans" w:eastAsia="Noto Sans CJK SC"/>
          </w:rPr>
          <w:t>https://www.sec.gov/Archives/edgar/data/1086222/000108622226000022/akam-20251231.htm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[5] Akamai completes Linode acquisition  </w:t>
      </w:r>
      <w:hyperlink r:id="rId14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https://www.akamai.com/newsroom/press-release/akamai-completes-acquisition-of-linode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[6] Akamai Connected Cloud announcement  </w:t>
      </w:r>
      <w:hyperlink r:id="rId15">
        <w:r>
          <w:rPr>
            <w:color w:val="0563C1"/>
            <w:u w:val="single"/>
            <w:rFonts w:ascii="Noto Sans" w:hAnsi="Noto Sans" w:eastAsia="Noto Sans CJK SC"/>
          </w:rPr>
          <w:t>https://www.ir.akamai.com/news-releases/news-release-details/akamai-unveils-akamai-connected-cloud-and-new-cloud-computing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[7] Akamai completes LayerX acquisition  </w:t>
      </w:r>
      <w:hyperlink r:id="rId16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https://www.akamai.com/newsroom/press-release/akamai-completes-acquisition-of-secure-enterprise-browser-provider-layerx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[8] Akamai company history  </w:t>
      </w:r>
      <w:hyperlink r:id="rId17">
        <w:r>
          <w:rPr>
            <w:color w:val="0563C1"/>
            <w:u w:val="single"/>
            <w:rFonts w:ascii="Noto Sans" w:hAnsi="Noto Sans" w:eastAsia="Noto Sans CJK SC"/>
          </w:rPr>
          <w:t>https://www.akamai.com/company/company-history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[9] Akamai CEO &amp; co-founder Tom Leighton profile  </w:t>
      </w:r>
      <w:hyperlink r:id="rId18">
        <w:r>
          <w:rPr>
            <w:color w:val="0563C1"/>
            <w:u w:val="single"/>
            <w:rFonts w:ascii="Noto Sans" w:hAnsi="Noto Sans" w:eastAsia="Noto Sans CJK SC"/>
          </w:rPr>
          <w:t>https://www.akamai.com/company/leadership/executive-team/tom-leighton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[10] Akamai remembers co-founder Danny Lewin  </w:t>
      </w:r>
      <w:hyperlink r:id="rId19">
        <w:r>
          <w:rPr>
            <w:color w:val="0563C1"/>
            <w:u w:val="single"/>
            <w:rFonts w:ascii="Noto Sans" w:hAnsi="Noto Sans" w:eastAsia="Noto Sans CJK SC"/>
          </w:rPr>
          <w:t>https://www.akamai.com/company/company-history/danny-lewin</w:t>
        </w:r>
      </w:hyperlink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 CJK SC"/>
        <w:color w:val="888888"/>
        <w:sz w:val="16"/>
      </w:rPr>
      <w:t>AKAM | Investment Dossier  |  Research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723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7233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r.akamai.com/news-releases/news-release-details/akamai-reports-second-quarter-2026-financial-results" TargetMode="External"/><Relationship Id="rId11" Type="http://schemas.openxmlformats.org/officeDocument/2006/relationships/hyperlink" Target="https://www.akamai.com/newsroom/press-release/akamai-announces-11-6-billion-multi-year-agreement-with-anthropic-to-support-growing-demand" TargetMode="External"/><Relationship Id="rId12" Type="http://schemas.openxmlformats.org/officeDocument/2006/relationships/hyperlink" Target="https://www.sec.gov/Archives/edgar/data/1086222/000108622226000086/akam-20260630.htm" TargetMode="External"/><Relationship Id="rId13" Type="http://schemas.openxmlformats.org/officeDocument/2006/relationships/hyperlink" Target="https://www.sec.gov/Archives/edgar/data/1086222/000108622226000022/akam-20251231.htm" TargetMode="External"/><Relationship Id="rId14" Type="http://schemas.openxmlformats.org/officeDocument/2006/relationships/hyperlink" Target="https://www.akamai.com/newsroom/press-release/akamai-completes-acquisition-of-linode" TargetMode="External"/><Relationship Id="rId15" Type="http://schemas.openxmlformats.org/officeDocument/2006/relationships/hyperlink" Target="https://www.ir.akamai.com/news-releases/news-release-details/akamai-unveils-akamai-connected-cloud-and-new-cloud-computing" TargetMode="External"/><Relationship Id="rId16" Type="http://schemas.openxmlformats.org/officeDocument/2006/relationships/hyperlink" Target="https://www.akamai.com/newsroom/press-release/akamai-completes-acquisition-of-secure-enterprise-browser-provider-layerx" TargetMode="External"/><Relationship Id="rId17" Type="http://schemas.openxmlformats.org/officeDocument/2006/relationships/hyperlink" Target="https://www.akamai.com/company/company-history" TargetMode="External"/><Relationship Id="rId18" Type="http://schemas.openxmlformats.org/officeDocument/2006/relationships/hyperlink" Target="https://www.akamai.com/company/leadership/executive-team/tom-leighton" TargetMode="External"/><Relationship Id="rId19" Type="http://schemas.openxmlformats.org/officeDocument/2006/relationships/hyperlink" Target="https://www.akamai.com/company/company-history/danny-lew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