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SNDK｜Sandisk 闪迪个股档案：从闪存涨价周期，走向长期供货合约的验证期</w:t>
      </w:r>
    </w:p>
    <w:p/>
    <w:p>
      <w:r>
        <w:t>资料截止：2026年10月2日。行情统一采用2026年10月1日美股常规交易收盘，不混入盘后、夜盘或10月2日交易。金额除每股数据外均为美元；“亿美元”是全文财务单位。</w:t>
      </w:r>
    </w:p>
    <w:p/>
    <w:p>
      <w:r>
        <w:t>收盘价1787.69美元，当日上涨2.75%；按最近披露的1.46419001亿股普通股计算，市值约2617.52亿美元。该股数截至8月7日，之后的回购与股权奖励会令实际股数变化。最新完整年度是截至2026年7月3日的2026财年，不能把它写成2026自然年全年。[行情入口](https://longbridge.com/quote/SNDK.US)；[2026财年年报](https://www.sec.gov/Archives/edgar/data/2023554/000162828026057406/sndk-20260703.htm)</w:t>
      </w:r>
    </w:p>
    <w:p/>
    <w:p>
      <w:r>
        <w:t>先给核心结论</w:t>
      </w:r>
    </w:p>
    <w:p/>
    <w:p>
      <w:pPr>
        <w:pStyle w:val="ListBullet"/>
      </w:pPr>
      <w:r>
        <w:t>SNDK是NAND闪存与固态存储公司。它不是WDC的机械硬盘业务，也不是生产HBM高带宽内存的美光。三者都受益于数据增长，但产品、竞争结构和成本曲线不同</w:t>
      </w:r>
    </w:p>
    <w:p>
      <w:pPr>
        <w:pStyle w:val="ListBullet"/>
      </w:pPr>
      <w:r>
        <w:t>当前最重要的变化已经超出“AI多用一些SSD”：闪迪正在用多年采购承诺、定价机制和财务保障，把原来高度随行就市的生意改造成更可规划的供货关系。变化是真实的，跨完整周期的效果仍待证明</w:t>
      </w:r>
    </w:p>
    <w:p>
      <w:pPr>
        <w:pStyle w:val="ListBullet"/>
      </w:pPr>
      <w:r>
        <w:t>2026财年收入202.48亿美元，增长175%；第四财季毛利率84.6%。这是一组极强的实际结果，同时也让“利润率能维持多久”成为估值的主要变量</w:t>
      </w:r>
    </w:p>
    <w:p>
      <w:pPr>
        <w:pStyle w:val="ListBullet"/>
      </w:pPr>
      <w:r>
        <w:t>数据中心已从边缘业务成长为重要支柱，但全年仍约六成收入来自边缘终端。不能把全部收入都标成AI服务器收入，也不能把整家公司仍理解为卖存储卡</w:t>
      </w:r>
    </w:p>
    <w:p>
      <w:pPr>
        <w:pStyle w:val="ListBullet"/>
      </w:pPr>
      <w:r>
        <w:t>经营现金流很强，但客户预付款和押金贡献明显。简单自由现金流114.94亿美元，按公司扣除合资净投入及客户提前付款后的调整口径，为87.43亿美元</w:t>
      </w:r>
    </w:p>
    <w:p>
      <w:pPr>
        <w:pStyle w:val="ListBullet"/>
      </w:pPr>
      <w:r>
        <w:t>账面无有息债务不等于没有资本负担。日本合资设备、厂房预付款、制造服务费、采购承诺与未来技术升级都需要现金</w:t>
      </w:r>
    </w:p>
    <w:p>
      <w:pPr>
        <w:pStyle w:val="ListBullet"/>
      </w:pPr>
      <w:r>
        <w:t>股价年内已上涨约653%，但也在2026年6月至7月发生过56.5%的收盘回撤。当前争论不是公司有没有增长，而是增长和高利润能否兑现足够久，覆盖今天的价格</w:t>
      </w:r>
    </w:p>
    <w:p/>
    <w:p>
      <w:pPr>
        <w:pStyle w:val="Heading2"/>
      </w:pPr>
      <w:r>
        <w:t>1. 一句话看懂公司</w:t>
      </w:r>
    </w:p>
    <w:p/>
    <w:p>
      <w:r>
        <w:t>闪迪把NAND存储单元、晶圆制造能力、控制器、固件和客户认证整合成可销售的存储产品，赚取每单位数据容量的售价与全生命周期成本之间的差额。</w:t>
      </w:r>
    </w:p>
    <w:p/>
    <w:p>
      <w:r>
        <w:t>可以把它理解成“既参与生产数字仓库的建筑材料，也设计整座仓库如何高效运行”的公司。零售端是存储卡、U盘、移动固态硬盘；企业端是数据中心SSD；终端设备里则是手机、电脑、游戏机等使用的闪存与嵌入式存储。</w:t>
      </w:r>
    </w:p>
    <w:p/>
    <w:p>
      <w:r>
        <w:t>2025年2月21日完成法律分拆，2月24日恢复独立常规交易。今天的上市主体承接WDC闪存业务及相应资产、负债和人员，不能把2016年以前旧SNDK的每股指标、股数和K线直接接到今天。</w:t>
      </w:r>
    </w:p>
    <w:p/>
    <w:p>
      <w:pPr>
        <w:pStyle w:val="Heading2"/>
      </w:pPr>
      <w:r>
        <w:t>2. 商业模式</w:t>
      </w:r>
    </w:p>
    <w:p/>
    <w:p>
      <w:r>
        <w:t>第一层，研发与制造。公司与铠侠共同研发NAND，并通过日本的Flash Ventures合资体系获得晶圆。闪迪持有各合资实体49.9%，铠侠持有50.1%；合资产出通常各取一半，但铠侠另有自己的产能，所以不能据此推断两家公司总出货量各占整个基地一半。</w:t>
      </w:r>
    </w:p>
    <w:p/>
    <w:p>
      <w:r>
        <w:t>第二层，产品化。同一类闪存颗粒可以进入价格敏感的客户端产品，也可以结合控制器、固件、错误校正与认证，进入要求更高的企业SSD。原料相近，不代表售价、服务成本和客户黏性一样。</w:t>
      </w:r>
    </w:p>
    <w:p/>
    <w:p>
      <w:r>
        <w:t>第三层，销售。既向设备厂商、云计算客户供货，也通过渠道与零售品牌卖给消费者。大客户要求稳定供货、功耗表现和长期产品支持；消费者更看容量、速度、品牌与价格。</w:t>
      </w:r>
    </w:p>
    <w:p/>
    <w:p>
      <w:r>
        <w:t>第四层，合约正在改变。新业务模式协议简称NBM，包含多年数量承诺、固定与浮动结合的定价机制，以及押金、预付款或其他财务保障。它改善的是双方的可见度与风险分担，不能理解为所有价格永久锁定、所有货款已经到账。</w:t>
      </w:r>
    </w:p>
    <w:p/>
    <w:p>
      <w:r>
        <w:t>经营杠杆因此很大：售价上涨可能迅速转化成利润；售价下跌时，研发、工厂固定成本和既有采购义务不会等比例消失。</w:t>
      </w:r>
    </w:p>
    <w:p/>
    <w:p>
      <w:pPr>
        <w:pStyle w:val="Heading2"/>
      </w:pPr>
      <w:r>
        <w:t>3. 收入结构</w:t>
      </w:r>
    </w:p>
    <w:p/>
    <w:p>
      <w:r>
        <w:t>2026财年三类终端市场收入：</w:t>
      </w:r>
    </w:p>
    <w:p/>
    <w:p>
      <w:pPr>
        <w:pStyle w:val="ListBullet"/>
      </w:pPr>
      <w:r>
        <w:t>数据中心：51.53亿美元，占25.4%，同比增长437%</w:t>
      </w:r>
    </w:p>
    <w:p>
      <w:pPr>
        <w:pStyle w:val="ListBullet"/>
      </w:pPr>
      <w:r>
        <w:t>边缘终端：121.60亿美元，占60.1%，同比增长195%</w:t>
      </w:r>
    </w:p>
    <w:p>
      <w:pPr>
        <w:pStyle w:val="ListBullet"/>
      </w:pPr>
      <w:r>
        <w:t>消费：29.35亿美元，占14.5%，同比增长29%</w:t>
      </w:r>
    </w:p>
    <w:p/>
    <w:p>
      <w:r>
        <w:t>第四财季结构变化更明显：数据中心29.77亿美元，占33.2%；边缘终端54.32亿美元，占60.6%；消费5.56亿美元，占6.2%。数据中心收入环比翻倍，而消费收入环比下降32%、同比下降5%。这不是所有渠道同步繁荣，而是资源配置、价格和终端需求出现分化。[第四财季业绩与终端收入](https://www.sec.gov/Archives/edgar/data/2023554/000162828026053346/sndkq4-26ex991xpressrelease.htm)</w:t>
      </w:r>
    </w:p>
    <w:p/>
    <w:p>
      <w:r>
        <w:t>需要区分“收入增长”和“数据容量增长”。全年总位出货只增长十几个百分点，而收入增长175%，意味着涨价与产品组合贡献非常大。年报披露，数据中心位出货接近增长120%，每GB收入接近增长150%；消费位出货反而下降十几个百分点。</w:t>
      </w:r>
    </w:p>
    <w:p/>
    <w:p>
      <w:r>
        <w:t>因此，不能把今年收入增速当作长期容量需求增速，也不能认为涨价不会反过来压缩PC、手机和零售客户的购买量。</w:t>
      </w:r>
    </w:p>
    <w:p/>
    <w:p>
      <w:pPr>
        <w:pStyle w:val="Heading2"/>
      </w:pPr>
      <w:r>
        <w:t>4. 行业地位</w:t>
      </w:r>
    </w:p>
    <w:p/>
    <w:p>
      <w:r>
        <w:t>闪迪属于全球少数拥有NAND核心知识产权、制造权益和系统级产品能力的供应商，是重要参与者，但并非各项指标都第一。</w:t>
      </w:r>
    </w:p>
    <w:p/>
    <w:p>
      <w:r>
        <w:t>TrendForce于8月18日公布的2026年第二季NAND营收排名中，顺序是三星、SK海力士集团、美光、铠侠、闪迪。9月1日的企业SSD调查也将闪迪列为第五，企业SSD季度收入约29.8亿美元。数据中心业务增长很快，并不等于已经取得市场主导权。[NAND营收排名](https://www.trendforce.com.tw/presscenter/news/20260818-13185.html)；[企业SSD排名](https://www.trendforce.com.tw/presscenter/news/20260901-13209.html)</w:t>
      </w:r>
    </w:p>
    <w:p/>
    <w:p>
      <w:r>
        <w:t>这两个口径还不能混用：一是全部NAND业务，二是企业SSD产品。闪迪和铠侠共享研发制造，但在产品、客户和定价上仍各自竞争；将两者营收相加后称作“一家公司排名第二”，容易高估闪迪股东实际拥有的业务。</w:t>
      </w:r>
    </w:p>
    <w:p/>
    <w:p>
      <w:r>
        <w:t>它的投资吸引力在于从较低的企业市场基础向上追赶，以及制造与系统设计的结合；相应风险则是对手已有庞大客户基础，追赶需要持续投入和可靠性记录。</w:t>
      </w:r>
    </w:p>
    <w:p/>
    <w:p>
      <w:pPr>
        <w:pStyle w:val="Heading2"/>
      </w:pPr>
      <w:r>
        <w:t>5. 核心竞争力</w:t>
      </w:r>
    </w:p>
    <w:p/>
    <w:p>
      <w:r>
        <w:t>A. 晶圆级技术与系统设计一起做。单纯提高层数不够，还要控制良率、功耗、接口速度、耐久度和每比特成本。闪迪可以把NAND器件与控制器、固件一起优化，降低产品设计之间的摩擦。</w:t>
      </w:r>
    </w:p>
    <w:p/>
    <w:p>
      <w:r>
        <w:t>B. 与铠侠的长期共同研发与规模。既分摊昂贵开发成本，也让产品有大规模制造基础。合作是壁垒，同时也是依赖，并不意味着闪迪独自控制日本工厂。</w:t>
      </w:r>
    </w:p>
    <w:p/>
    <w:p>
      <w:r>
        <w:t>C. CBA架构的灵活性。它把外围逻辑和存储阵列分别制造后再键合，让不同部分按各自最适合的节奏进步。8月发布的第九代QLC结合成熟阵列与更新的逻辑晶圆，说明成本改善不必永远依赖“全线推倒重建”。[第九代QLC公告](https://www.sandisk.com/company/newsroom/press-releases/2026/2026-08-12-kioxia-and-sandisk-unveil-new-high-performance-qlc-3d-flash-memory-for-ai-and-data-intensive-apps)</w:t>
      </w:r>
    </w:p>
    <w:p/>
    <w:p>
      <w:r>
        <w:t>D. 客户认证与产品平台。企业SSD进入服务器，需要稳定性能、可预测延迟、掉电保护和长期验证。通过认证后替换供应商有成本，但客户通常仍保留多来源采购，不能把认证等同于永久垄断。</w:t>
      </w:r>
    </w:p>
    <w:p/>
    <w:p>
      <w:r>
        <w:t>E. 品牌与渠道。消费者认识SanDisk，给了它直接面向终端用户的分销能力。不过品牌优势主要帮助卖产品，不能阻止整个NAND行业价格下行。</w:t>
      </w:r>
    </w:p>
    <w:p/>
    <w:p>
      <w:pPr>
        <w:pStyle w:val="Heading2"/>
      </w:pPr>
      <w:r>
        <w:t>6. 主要竞争对手</w:t>
      </w:r>
    </w:p>
    <w:p/>
    <w:p>
      <w:r>
        <w:t>三星：规模、技术、产品覆盖和客户基础都很强，既能争夺高端企业SSD，也能影响整个行业供需。</w:t>
      </w:r>
    </w:p>
    <w:p/>
    <w:p>
      <w:r>
        <w:t>SK海力士与Solidigm：除NAND本体外，在高容量QLC企业SSD上具有直接竞争力；SK海力士同时是闪迪HBF标准工作的合作方，合作与竞争可以并存。</w:t>
      </w:r>
    </w:p>
    <w:p/>
    <w:p>
      <w:r>
        <w:t>美光：既经营DRAM/HBM，也经营NAND和企业SSD。其资本配置会影响NAND供给，但美光HBM收入增长不能直接换算成闪迪的收入。</w:t>
      </w:r>
    </w:p>
    <w:p/>
    <w:p>
      <w:r>
        <w:t>铠侠：上游联合开发和制造伙伴，下游独立竞争者。共同把技术做出来，再分别把技术卖给客户，是理解两者关系的关键。</w:t>
      </w:r>
    </w:p>
    <w:p/>
    <w:p>
      <w:r>
        <w:t>长江存储及相关生态：影响部分市场供给、价格与区域竞争。地缘政治限制会改变客户可采购范围，但不能假设竞争因此消失。</w:t>
      </w:r>
    </w:p>
    <w:p/>
    <w:p>
      <w:r>
        <w:t>机械硬盘是另一层竞争。WDC、希捷提供廉价大容量持久存储，SSD在速度、延迟、功耗密度等应用中具有优势。未来更可能是按数据冷热程度共同分工，而不是所有硬盘突然被SSD替代。</w:t>
      </w:r>
    </w:p>
    <w:p/>
    <w:p>
      <w:pPr>
        <w:pStyle w:val="Heading2"/>
      </w:pPr>
      <w:r>
        <w:t>7. 未来12–24个月增长逻辑</w:t>
      </w:r>
    </w:p>
    <w:p/>
    <w:p>
      <w:r>
        <w:t>第一，企业SSD从客户认证走向真实重复采购。观察重点是数据中心收入、出货容量与客户数量的共同增长，而不是只看一款超高容量产品发布。</w:t>
      </w:r>
    </w:p>
    <w:p/>
    <w:p>
      <w:r>
        <w:t>第二，长约覆盖提高。8月13日投资者日披露，八家客户已签NBM，预计覆盖2027财年约一半位出货、2028财年约三分之二。覆盖增加有望改善生产计划，但要看客户最终提货、价格机制和违约约束是否经受需求变化。[投资者日战略与长期模型](https://www.sandisk.com/company/newsroom/press-releases/2026/2026-08-13-sandisk-investor-day-2026)</w:t>
      </w:r>
    </w:p>
    <w:p/>
    <w:p>
      <w:r>
        <w:t>第三，成本下降追上需求增长。7月公布的BiCS10采用332层设计，厂商测试显示位密度较BiCS8提高59%、接口速度提高33%。这是技术规格，不是已实现59%单位成本下降；实际盈利仍取决于良率、设备效率、封装和产品组合。[BiCS10送样公告](https://investor.sandisk.com/node/8101/pdf)</w:t>
      </w:r>
    </w:p>
    <w:p/>
    <w:p>
      <w:r>
        <w:t>第四，提高同一批晶圆的经济价值。把有限供给优先放到高价值企业与边缘客户，可以在不过度扩晶圆产能的情况下增加利润。但消费客户的萎缩也提醒我们，价格提升存在需求约束。</w:t>
      </w:r>
    </w:p>
    <w:p/>
    <w:p>
      <w:r>
        <w:t>第五，HBF提供中期选择权。8月与SK海力士通过OCP发布首版技术规范，Google和Tenstorrent参与标准化过程。它试图在AI推理中提供靠近计算端的大容量闪存层。标准、样品、平台设计导入、规模收入是四个不同阶段；当前不宜给它编造收入占比。[HBF官方进展](https://investor.sandisk.com/node/8126/pdf)</w:t>
      </w:r>
    </w:p>
    <w:p/>
    <w:p>
      <w:pPr>
        <w:pStyle w:val="Heading2"/>
      </w:pPr>
      <w:r>
        <w:t>8. 核心财务指标</w:t>
      </w:r>
    </w:p>
    <w:p/>
    <w:p>
      <w:r>
        <w:t>以下按2024、2025、2026财年排列，均为美国会计准则法定口径；金额为亿美元，每股收益为美元：</w:t>
      </w:r>
    </w:p>
    <w:p/>
    <w:p>
      <w:pPr>
        <w:pStyle w:val="ListBullet"/>
      </w:pPr>
      <w:r>
        <w:t>营业收入：66.63 → 73.55 → 202.48</w:t>
      </w:r>
    </w:p>
    <w:p>
      <w:pPr>
        <w:pStyle w:val="ListBullet"/>
      </w:pPr>
      <w:r>
        <w:t>毛利率：约16.1% → 30.1% → 71.5%</w:t>
      </w:r>
    </w:p>
    <w:p>
      <w:pPr>
        <w:pStyle w:val="ListBullet"/>
      </w:pPr>
      <w:r>
        <w:t>营业利润：−4.68 → −13.77 → 123.89</w:t>
      </w:r>
    </w:p>
    <w:p>
      <w:pPr>
        <w:pStyle w:val="ListBullet"/>
      </w:pPr>
      <w:r>
        <w:t>净利润／净亏损（美国会计准则）：−6.72 → −16.41 → 114.33</w:t>
      </w:r>
    </w:p>
    <w:p>
      <w:pPr>
        <w:pStyle w:val="ListBullet"/>
      </w:pPr>
      <w:r>
        <w:t>摊薄每股收益：−4.63 → −11.32 → 73.76</w:t>
      </w:r>
    </w:p>
    <w:p>
      <w:pPr>
        <w:pStyle w:val="ListBullet"/>
      </w:pPr>
      <w:r>
        <w:t>经营现金流：−3.09 → 0.84 → 116.71</w:t>
      </w:r>
    </w:p>
    <w:p/>
    <w:p>
      <w:r>
        <w:t>2026财年末：现金47.62亿美元，账面有息债务为零，股东权益157.36亿美元；另持有南亚科股票17.77亿美元，存在三年法定锁定期，不能把它当随时能动用的现金。</w:t>
      </w:r>
    </w:p>
    <w:p/>
    <w:p>
      <w:r>
        <w:t>第四财季收入89.65亿美元、毛利率84.6%、营业利润70.37亿美元、净利润69.03亿美元。全年研发费用13.28亿美元，较上一年11.32亿美元增加；成本纪律并不等于停止技术投入。[年报财务报表与附注](https://www.sec.gov/Archives/edgar/data/2023554/000162828026057406/sndk-20260703.htm)</w:t>
      </w:r>
    </w:p>
    <w:p/>
    <w:p>
      <w:r>
        <w:t>必须加上三条口径提醒。</w:t>
      </w:r>
    </w:p>
    <w:p/>
    <w:p>
      <w:r>
        <w:t>一是2026财年有53周，前两年各52周，额外一周在第一财季。2025财年仍含分拆前按WDC历史账簿划出的期间，不是完整独立运营一年。公司费用分摊、税务和融资安排存在可比性限制。</w:t>
      </w:r>
    </w:p>
    <w:p/>
    <w:p>
      <w:r>
        <w:t>二是2025财年亏损包含18.30亿美元商誉减值。不能把这项非现金损失当作经营每年重复消耗的现金，也不能忽略它反映了收购与账面估值的历史代价。</w:t>
      </w:r>
    </w:p>
    <w:p/>
    <w:p>
      <w:r>
        <w:t>三是2026财年按美国会计准则计算的净利，高于公司调整后净利。全年股权投资收益8.08亿美元，主要来自南亚科持股重估；第四季同类收益8.04亿美元。剔除相关项目后，全年调整后净利109.87亿美元、摊薄每股70.88美元；第四季分别61.62亿美元、39.25美元。2025财年调整后每股收益则为正2.99美元，与法定亏损11.32美元并不矛盾，主要差别包含商誉减值等调整。不要习惯性认为“调整后一定更高”。</w:t>
      </w:r>
    </w:p>
    <w:p/>
    <w:p>
      <w:pPr>
        <w:pStyle w:val="Heading2"/>
      </w:pPr>
      <w:r>
        <w:t>9. 资本开支 / 自由现金流 / 投入资本回报率（CapEx / FCF / ROIC）</w:t>
      </w:r>
    </w:p>
    <w:p/>
    <w:p>
      <w:r>
        <w:t>先看现金流瀑布，2026财年均为亿美元：</w:t>
      </w:r>
    </w:p>
    <w:p/>
    <w:p>
      <w:r>
        <w:t>经营现金流116.71，减自有物业设备净购买1.77，得到简单自由现金流114.94；再扣合资相关净资金投入2.75，再扣NBM客户预付款与押金影响24.76，得到公司披露的调整后自由现金流87.43。</w:t>
      </w:r>
    </w:p>
    <w:p/>
    <w:p>
      <w:r>
        <w:t>调整后自由现金流占收入43.2%，仍很强，但明显低于简单口径56.8%。客户提前支付的钱伴随未来交付或退款义务，不能全部视作本期经营已经赚到、可永久分配的现金。年末税款应付增长也使现金税低于利润表税费，后续缴税节奏同样影响现金转化。</w:t>
      </w:r>
    </w:p>
    <w:p/>
    <w:p>
      <w:r>
        <w:t>表面资本开支仅1.77亿美元，绝不意味着闪迪是轻资产软件公司。日本合资设备并未全部并入其固定资产；资金会经合资贷款、设备租赁与晶圆采购成本体现。不能拿合并报表1.77亿美元除以收入，直接宣称真实制造资本强度不到1%。</w:t>
      </w:r>
    </w:p>
    <w:p/>
    <w:p>
      <w:r>
        <w:t>已知承诺包括：合资设备租赁担保9.23亿美元、未来厂房折旧预付款约4.02亿美元；1月续约另约定2026至2029年分期支付11.65亿美元制造服务与供应保障费用。各项性质和支付时点不同，不能重复相加为“立即到期债务”。[合资续约公告](https://investor.sandisk.com/news-releases/news-release-details/kioxia-and-sandisk-extend-yokkaichi-joint-venture-agreement)</w:t>
      </w:r>
    </w:p>
    <w:p/>
    <w:p>
      <w:r>
        <w:t>ROIC，即投入资本回报率，本报告给出可复算的简化口径，而不采用平台一个未解释的百分比：</w:t>
      </w:r>
    </w:p>
    <w:p/>
    <w:p>
      <w:pPr>
        <w:pStyle w:val="ListBullet"/>
      </w:pPr>
      <w:r>
        <w:t>税后营业利润：2026财年营业利润123.89 ×（1−假设正常税率15%）＝105.31亿美元；不是拿含股票重估收益的净利润做分子</w:t>
      </w:r>
    </w:p>
    <w:p>
      <w:pPr>
        <w:pStyle w:val="ListBullet"/>
      </w:pPr>
      <w:r>
        <w:t>投入资本：股东权益＋账面有息债务−现金。2025财年末为95.84亿美元，2026财年末为109.74亿美元，两期平均102.79亿美元</w:t>
      </w:r>
    </w:p>
    <w:p>
      <w:pPr>
        <w:pStyle w:val="ListBullet"/>
      </w:pPr>
      <w:r>
        <w:t>上述简化ROIC约102.4%。若再从2026期末资本扣除南亚科金融投资17.77亿美元，平均资本为93.905亿美元，结果约112.1%</w:t>
      </w:r>
    </w:p>
    <w:p/>
    <w:p>
      <w:r>
        <w:t>两者都保留商誉，不加回股权激励，不资本化研发；将经营租赁当经营项目处理，没有另加租赁债务，也未把合资全部底层设备按比例穿透重构。15%是分析假设，不是2026实际综合税率。</w:t>
      </w:r>
    </w:p>
    <w:p/>
    <w:p>
      <w:r>
        <w:t>超过100%并不意味着新建晶圆厂一年就能回本。它同时受超高周期利润、历史商誉减值、合资报表结构、客户资金和回购影响。适合描述这一年的账面资本效率，不能作为永续收益率，更不能直接与MU或WDC不加调整地排名。</w:t>
      </w:r>
    </w:p>
    <w:p/>
    <w:p>
      <w:pPr>
        <w:pStyle w:val="Heading2"/>
      </w:pPr>
      <w:r>
        <w:t>10. 估值框架</w:t>
      </w:r>
    </w:p>
    <w:p/>
    <w:p>
      <w:r>
        <w:t>用10月1日1787.69美元，除以2026财年官方摊薄每股收益73.76，市盈率约24.2倍；除以调整后70.88，约25.2倍。</w:t>
      </w:r>
    </w:p>
    <w:p/>
    <w:p>
      <w:r>
        <w:t>行情平台显示约22.9倍，是以当期市值除以全年净利的口径。最新实际普通股数量约1.464亿，低于全年加权摊薄股数约1.55亿，两种算法不会完全一样。本文每股估值统一用官方摊薄收益，不把差异误判为数据造假。</w:t>
      </w:r>
    </w:p>
    <w:p/>
    <w:p>
      <w:r>
        <w:t>市销率约12.9倍；按公司调整后自由现金流，市值／现金流约29.9倍，现金流收益率约3.34%。若只看未扣客户提前付款的简单现金流，收益率会显得更高，为4.39%。</w:t>
      </w:r>
    </w:p>
    <w:p/>
    <w:p>
      <w:r>
        <w:t>再看前瞻敏感度：公司8月5日指引2027财年第一季调整后每股收益44至46美元。取中值45、机械乘四，得到180美元年化，对应9.9倍。它只是季度运行速度，不是公司全年每股收益承诺，更不是已证明的穿越周期盈利。[下一财季官方指引](https://www.sec.gov/Archives/edgar/data/2023554/000162828026053346/sndkq4-26ex991xpressrelease.htm)</w:t>
      </w:r>
    </w:p>
    <w:p/>
    <w:p>
      <w:r>
        <w:t>因此闪迪会同时显得“历史现金流很贵”和“按下一季年化利润很便宜”。真正需要回答的是：未来能维持180美元左右每股收益多久，增长又需耗掉多少资本。</w:t>
      </w:r>
    </w:p>
    <w:p/>
    <w:p>
      <w:r>
        <w:t>企业价值可用市值减现金得到约2569.90亿美元，未扣被锁定南亚科持股、未加经营租赁，也不把客户押金当普通金融债务。若建立完整模型，必须对这些项目和合资担保分别处理，而不是直接套用某个平台的企业价值倍数。</w:t>
      </w:r>
    </w:p>
    <w:p/>
    <w:p>
      <w:pPr>
        <w:pStyle w:val="Heading2"/>
      </w:pPr>
      <w:r>
        <w:t>11. 牛 / 基准 / 熊三情景</w:t>
      </w:r>
    </w:p>
    <w:p/>
    <w:p>
      <w:r>
        <w:t>以下为本报告自设的2028财年情景，约覆盖未来21个月，完全不是公司指引或概率预测。统一假设摊薄股数1.55亿，净利约为营业利润扣税，暂不计投资重估与其他净收益；不会额外假设回购带来的每股增益，也不再把现金重复加进市盈率估值。</w:t>
      </w:r>
    </w:p>
    <w:p/>
    <w:p>
      <w:r>
        <w:t>牛情景：收入580亿美元，调整后营业利润率75%，正常税率15%，推算每股收益约238.55美元。若市场给予13至16倍，对应3101至3817美元，较基准股价高约73%至114%。假设调整后自由现金流率50%，现金流约290亿美元。</w:t>
      </w:r>
    </w:p>
    <w:p/>
    <w:p>
      <w:r>
        <w:t>需要发生什么：长约兑现并扩大，AI存储位需求持续快速增长，BiCS技术转换降低成本，同行扩产没有迅速冲击价格，企业SSD认证与交付顺利。该情景接近管理层长期利润率框架，但收入数值与估值倍数均为本报告假设。</w:t>
      </w:r>
    </w:p>
    <w:p/>
    <w:p>
      <w:r>
        <w:t>基准情景：收入480亿美元，调整后营业利润率65%，税率17%，每股收益约167.07美元。给予10至13倍，对应1671至2172美元，约−7%至+21%。调整后现金流率42%，现金流约201.60亿美元。</w:t>
      </w:r>
    </w:p>
    <w:p/>
    <w:p>
      <w:r>
        <w:t>含义是企业业务和长约确实产生结构改善，但行业供给增加、定价让步与资本投入，使公司不能长期保持第四季接近85%的毛利率。这不是“回到旧周期底部”，而是对极高利润留出折扣。</w:t>
      </w:r>
    </w:p>
    <w:p/>
    <w:p>
      <w:r>
        <w:t>熊情景：收入360亿美元，调整后营业利润率40%，税率18%，每股收益约76.18美元。给予10至13倍，对应762至990美元，约−57%至−45%。调整后现金流率25%，现金流约90亿美元。</w:t>
      </w:r>
    </w:p>
    <w:p/>
    <w:p>
      <w:r>
        <w:t>即使这一情景仍明显好于2025低谷，股价也可能承压，因为市场今天已为更强、更长的盈利支付价格。若长约严重违约、产能事故或新一輪极端价格战发生，结果还可能低于这组熊情景。</w:t>
      </w:r>
    </w:p>
    <w:p/>
    <w:p>
      <w:r>
        <w:t>阅读三情景的重点不是挑一个最喜欢的目标价，而是把收入、利润率、现金投入和估值倍数拆开：利润下降和倍数下降可以同时发生。</w:t>
      </w:r>
    </w:p>
    <w:p/>
    <w:p>
      <w:pPr>
        <w:pStyle w:val="Heading2"/>
      </w:pPr>
      <w:r>
        <w:t>12. 核心催化剂</w:t>
      </w:r>
    </w:p>
    <w:p/>
    <w:p>
      <w:r>
        <w:t>最近的硬节点是10月29日2027财年第一季业绩及展望。应核验收入能否进入103至108亿美元指引区间、调整后毛利率83%至85%能否兑现，以及下一季的价格、数量和客户结构变化。[财报日期公告](https://investor.sandisk.com/node/8381/pdf)</w:t>
      </w:r>
    </w:p>
    <w:p/>
    <w:p>
      <w:r>
        <w:t>其次是NBM新签、续签和扩容。八家客户不等于八份等额合约，覆盖位元也不等于同等比例收入；如果披露更明确的合同期限、价格保障和资金安排，估值可能进一步改变。</w:t>
      </w:r>
    </w:p>
    <w:p/>
    <w:p>
      <w:r>
        <w:t>再其次是企业SSD客户认证、BiCS10良率与产量爬坡、HBF生态从规范走向可交付平台。技术发布当天可以影响预期，但持续催化最终需要对应收入和现金流。</w:t>
      </w:r>
    </w:p>
    <w:p/>
    <w:p>
      <w:r>
        <w:t>回购也重要。8月新增140亿美元授权后，剩余授权约155亿美元；授权并非已经执行，回购能否创造价值取决于价格、股权激励稀释和剩余投资机会。</w:t>
      </w:r>
    </w:p>
    <w:p/>
    <w:p>
      <w:pPr>
        <w:pStyle w:val="Heading2"/>
      </w:pPr>
      <w:r>
        <w:t>13. 最大风险</w:t>
      </w:r>
    </w:p>
    <w:p/>
    <w:p>
      <w:r>
        <w:t>第一，利润率均值回归。84.6%毛利率包含稀缺供给和强定价的贡献。只要单位售价下行速度快于成本下降，利润可以比收入更快回落。</w:t>
      </w:r>
    </w:p>
    <w:p/>
    <w:p>
      <w:r>
        <w:t>第二，长约的执行而非签字。客户可能降需求、拖延部署或发生合同争议；闪迪也可能因良率、交付或规格问题承担赔偿。押金和财务担保缓解风险，但不消除法律与经营成本。</w:t>
      </w:r>
    </w:p>
    <w:p/>
    <w:p>
      <w:r>
        <w:t>第三，制造集中与合资依赖。关键生产依赖日本设施，设备故障、污染、地震、能源或物流问题会影响多个产品线；固定成本与部分采购义务不能随需求下降而消失。</w:t>
      </w:r>
    </w:p>
    <w:p/>
    <w:p>
      <w:r>
        <w:t>第四，竞争者回应。高利润会吸引资本，制程升级还可能在晶圆投片不大幅增加的情况下增加位供给。判断供给纪律不能只数新工厂，也要看每片晶圆容量。</w:t>
      </w:r>
    </w:p>
    <w:p/>
    <w:p>
      <w:r>
        <w:t>第五，资本分配。高股价时大量回购、同时承诺长期供给投资，可能在后续低谷削弱现金缓冲。强现金流并不自动代表所有资本配置都正确。</w:t>
      </w:r>
    </w:p>
    <w:p/>
    <w:p>
      <w:r>
        <w:t>第六，客户与地区风险。大客户集中、出口限制、贸易政策、DRAM配套采购成本和消费端承受力都可能改变盈利。南亚科投资还带来一层与核心NAND经营不同的股权价格波动。</w:t>
      </w:r>
    </w:p>
    <w:p/>
    <w:p>
      <w:pPr>
        <w:pStyle w:val="Heading2"/>
      </w:pPr>
      <w:r>
        <w:t>14. 当前市场争议</w:t>
      </w:r>
    </w:p>
    <w:p/>
    <w:p>
      <w:r>
        <w:t>争议一：这是“新型合约生意”，还是“周期顶点披上长约外衣”？</w:t>
      </w:r>
    </w:p>
    <w:p/>
    <w:p>
      <w:r>
        <w:t>多方证据：客户以多年量、资金保障和合作研发换供给；企业SSD占比上升，实际现金流已经明显改善。空方证据：客户仍可能因需求与技术变化调整部署，定价含浮动部分，同行供给长期不会静止。</w:t>
      </w:r>
    </w:p>
    <w:p/>
    <w:p>
      <w:r>
        <w:t>我的判断：长约值得给更高可信度，但需要至少跨过一次价格回落期，才知道它把多少风险真正转移出闪迪。</w:t>
      </w:r>
    </w:p>
    <w:p/>
    <w:p>
      <w:r>
        <w:t>争议二：约10倍前瞻年化收益到底便不便宜？分歧不是算术，而是分母。若高利润维持数年，倍数确实有吸引力；若180美元的年化收益只是短暂峰值，低倍数可能是假象。</w:t>
      </w:r>
    </w:p>
    <w:p/>
    <w:p>
      <w:r>
        <w:t>争议三：HBF能否成为下一条收入曲线？技术规范和生态伙伴说明它不是空泛概念，但距离长期大规模采购仍有工程、软件适配、耐久度与经济性问题。不能把HBM现有市场规模直接搬来当HBF收入预测。</w:t>
      </w:r>
    </w:p>
    <w:p/>
    <w:p>
      <w:r>
        <w:t>争议四：资本效率有多“轻”？合资结构确实能共享资源；但把合并报表外设备和供应承诺忽略后计算的资本强度，会让公司看起来比经济实质更轻。</w:t>
      </w:r>
    </w:p>
    <w:p/>
    <w:p>
      <w:pPr>
        <w:pStyle w:val="Heading2"/>
      </w:pPr>
      <w:r>
        <w:t>15. 股性特征</w:t>
      </w:r>
    </w:p>
    <w:p/>
    <w:p>
      <w:r>
        <w:t>SNDK是高波动、高预期敏感的存储周期股，不是只随季度财报缓慢变化的稳健收益资产。</w:t>
      </w:r>
    </w:p>
    <w:p/>
    <w:p>
      <w:r>
        <w:t>截至10月1日，最近252个日简单收益率的年化波动率约115.3%，最近60日约115.8%；这是样本标准差乘以252的平方根，不是预测下一年必涨跌115%。14日平均真实波幅约102.32美元，占股价5.7%，日内和隔夜噪声都很大。</w:t>
      </w:r>
    </w:p>
    <w:p/>
    <w:p>
      <w:r>
        <w:t>股价年初至今约上涨653.1%，但距6月22日盘中高点2354.39仍低约24.1%。两件事可以同时成立：长线涨幅惊人，近几个月买入的人仍可能深套。</w:t>
      </w:r>
    </w:p>
    <w:p/>
    <w:p>
      <w:r>
        <w:t>好财报也可能下跌。预期差、拥挤交易、保证金需求与利率变化会影响反应；不宜把每一次上涨都归因于新订单，也不宜把每一次下跌都当经营恶化。</w:t>
      </w:r>
    </w:p>
    <w:p/>
    <w:p>
      <w:pPr>
        <w:pStyle w:val="Heading2"/>
      </w:pPr>
      <w:r>
        <w:t>16. 与板块相关性</w:t>
      </w:r>
    </w:p>
    <w:p/>
    <w:p>
      <w:r>
        <w:t>用长桥前复权常规收盘价计算日简单收益率，截止2026年10月1日。最近252个收益观察使用2025年9月30日至2026年10月1日收盘，最近60个使用2026年7月8日至10月1日收盘；按共同交易日对齐。</w:t>
      </w:r>
    </w:p>
    <w:p/>
    <w:p>
      <w:r>
        <w:t>过去252日／过去60日的皮尔逊相关系数：</w:t>
      </w:r>
    </w:p>
    <w:p/>
    <w:p>
      <w:pPr>
        <w:pStyle w:val="ListBullet"/>
      </w:pPr>
      <w:r>
        <w:t>与MU：0.776／0.891</w:t>
      </w:r>
    </w:p>
    <w:p>
      <w:pPr>
        <w:pStyle w:val="ListBullet"/>
      </w:pPr>
      <w:r>
        <w:t>与WDC：0.728／0.842</w:t>
      </w:r>
    </w:p>
    <w:p>
      <w:pPr>
        <w:pStyle w:val="ListBullet"/>
      </w:pPr>
      <w:r>
        <w:t>与半导体ETF SOXX：0.689／0.800</w:t>
      </w:r>
    </w:p>
    <w:p>
      <w:pPr>
        <w:pStyle w:val="ListBullet"/>
      </w:pPr>
      <w:r>
        <w:t>与纳斯达克100 ETF QQQ：0.590／0.674</w:t>
      </w:r>
    </w:p>
    <w:p/>
    <w:p>
      <w:r>
        <w:t>最近存储股共同波动更强，并不意味着业务已经相同。市场把它们当作AI硬件、资本开支和供需周期的一组风险交易，基本面差异要到具体财报才逐步体现。</w:t>
      </w:r>
    </w:p>
    <w:p/>
    <w:p>
      <w:r>
        <w:t>因此同时持有MU、WDC、SNDK并不天然形成充分分散。相关性是历史样本统计，不是因果关系，也不能外推为下一次行业冲击中的固定系数。</w:t>
      </w:r>
    </w:p>
    <w:p/>
    <w:p>
      <w:pPr>
        <w:pStyle w:val="Heading2"/>
      </w:pPr>
      <w:r>
        <w:t>17. 宏观敏感因素</w:t>
      </w:r>
    </w:p>
    <w:p/>
    <w:p>
      <w:r>
        <w:t>AI与云厂商资本开支：决定企业存储需求和提货节奏。计算集群建成后是否被持续使用，也会影响后续采购，不只是看宣布投入多少资金。</w:t>
      </w:r>
    </w:p>
    <w:p/>
    <w:p>
      <w:r>
        <w:t>消费景气与电子产品价格：闪存涨价会抬高手机和电脑物料成本，终端厂可能减少容量配置、延后升级或压缩订单。上游涨价有时会埋下下游需求减弱的种子。</w:t>
      </w:r>
    </w:p>
    <w:p/>
    <w:p>
      <w:r>
        <w:t>利率与风险偏好：公司债务压力已经下降，但高估值股票对折现率仍敏感。无债公司也会在流动性收紧时下跌。</w:t>
      </w:r>
    </w:p>
    <w:p/>
    <w:p>
      <w:r>
        <w:t>日元与美元：销售与成本分布不一致，日本制造费用、合资义务和汇率套保的时点，会影响美元成本与利润，不能用“日元跌就一定利好”一句话概括。</w:t>
      </w:r>
    </w:p>
    <w:p/>
    <w:p>
      <w:r>
        <w:t>贸易政策与补贴：影响客户可购买的产品、跨境制造成本、设备供应和日本扩产计划。政府支持能改善投资经济性，但补贴不是无条件、无时限的免费现金。</w:t>
      </w:r>
    </w:p>
    <w:p/>
    <w:p>
      <w:pPr>
        <w:pStyle w:val="Heading2"/>
      </w:pPr>
      <w:r>
        <w:t>18. 历史典型走势</w:t>
      </w:r>
    </w:p>
    <w:p/>
    <w:p>
      <w:r>
        <w:t>本节只使用2025年2月24日以后新上市SNDK的价格序列；不拼接旧公司退市前行情，也不混入2月13日开始的分拆前条件交易。</w:t>
      </w:r>
    </w:p>
    <w:p/>
    <w:p>
      <w:r>
        <w:t>第一段，独立上市后的脆弱期。2月24日收48.60美元，到2025年4月4日收30.11，跌约38.0%；4月7日盘中低至27.885。它说明“分拆释放价值”并不保证上市即上涨。</w:t>
      </w:r>
    </w:p>
    <w:p/>
    <w:p>
      <w:r>
        <w:t>第二段，2025年下半年至2026年上半年的盈利重估。2025年底收237.38，2026年1月29日收539.30。财报后1月30日常规收576.25，上涨6.85%，虽然盘中最高676.69。盘中或盘后涨幅不能冒充全天收盘收益。</w:t>
      </w:r>
    </w:p>
    <w:p/>
    <w:p>
      <w:r>
        <w:t>第三段，急涨后的深度去风险。6月25日最高收盘2335.00，到7月29日收1015.89，最大收盘回撤约56.5%。不必发生公司破产，盈利持续性的担忧就足以造成巨大市值波动。</w:t>
      </w:r>
    </w:p>
    <w:p/>
    <w:p>
      <w:r>
        <w:t>第四段，财报与长期框架的不同反应。8月5日公布强劲业绩后，8月6日收盘反跌6.81%；8月13日投资者日当日上涨13.67%。这些日期对应事件，但不能证明当天全部涨跌都由单一公告造成。</w:t>
      </w:r>
    </w:p>
    <w:p/>
    <w:p>
      <w:r>
        <w:t>到10月1日，股价较7月29日低收盘反弹约76.0%，仍未恢复6月高位。这比一句“强势上升趋势”更能说明当前所处阶段。</w:t>
      </w:r>
    </w:p>
    <w:p/>
    <w:p>
      <w:pPr>
        <w:pStyle w:val="Heading2"/>
      </w:pPr>
      <w:r>
        <w:t>19. 当前技术结构</w:t>
      </w:r>
    </w:p>
    <w:p/>
    <w:p>
      <w:r>
        <w:t>截止10月1日，采用404根新上市后的常规日K线计算：</w:t>
      </w:r>
    </w:p>
    <w:p/>
    <w:p>
      <w:pPr>
        <w:pStyle w:val="ListBullet"/>
      </w:pPr>
      <w:r>
        <w:t>收盘1787.69美元</w:t>
      </w:r>
    </w:p>
    <w:p>
      <w:pPr>
        <w:pStyle w:val="ListBullet"/>
      </w:pPr>
      <w:r>
        <w:t>20日简单均线1705.20，50日1537.47，100日1633.56，200日1138.26</w:t>
      </w:r>
    </w:p>
    <w:p>
      <w:pPr>
        <w:pStyle w:val="ListBullet"/>
      </w:pPr>
      <w:r>
        <w:t>14日相对强弱指标约57.4，使用Wilder平滑</w:t>
      </w:r>
    </w:p>
    <w:p>
      <w:pPr>
        <w:pStyle w:val="ListBullet"/>
      </w:pPr>
      <w:r>
        <w:t>当日成交921.81万股，约为此前20日、不含当天平均成交量的0.98倍</w:t>
      </w:r>
    </w:p>
    <w:p/>
    <w:p>
      <w:r>
        <w:t>价格在四条均线上方，短线有所修复；但50日均线仍低于100日均线，且6月大幅回撤留下的高位供给没有全部消化。当天也不属于显著放量突破。</w:t>
      </w:r>
    </w:p>
    <w:p/>
    <w:p>
      <w:r>
        <w:t>观察区间而非精确“神奇价位”：</w:t>
      </w:r>
    </w:p>
    <w:p/>
    <w:p>
      <w:r>
        <w:t>1700至1740附近，是近期收盘交易密集区与20日均线邻近位置；1630附近对应100日均线及9月中旬区域；1500至1560为9月回撤低位、50日均线附近的重要中期检验带。</w:t>
      </w:r>
    </w:p>
    <w:p/>
    <w:p>
      <w:r>
        <w:t>上方先看1800至1840，随后是9月22日盘中1909.48附近。若能放量突破且回测不快速跌回，才增加向2000以上、再测试2335至2354历史高位区间的可信度。</w:t>
      </w:r>
    </w:p>
    <w:p/>
    <w:p>
      <w:r>
        <w:t>若跌破1700后持续失守1630，再跌回1500附近，说明反弹结构受损；跌破7月低位则会构成更严重的趋势破坏。但技术破位只是价格信号，必须和收入、合约、现金流证据分开判断。</w:t>
      </w:r>
    </w:p>
    <w:p/>
    <w:p>
      <w:r>
        <w:t>以上全部为长桥历史价格独立计算；均线会每天变化，支撑不会阻止突发消息造成跳空。[行情与历史信息入口](https://longbridge.com/quote/SNDK.US)</w:t>
      </w:r>
    </w:p>
    <w:p/>
    <w:p>
      <w:pPr>
        <w:pStyle w:val="Heading2"/>
      </w:pPr>
      <w:r>
        <w:t>20. Thesis验证清单</w:t>
      </w:r>
    </w:p>
    <w:p/>
    <w:p>
      <w:r>
        <w:t>每次财报先看以下八件事，而不是先看股价反应：</w:t>
      </w:r>
    </w:p>
    <w:p/>
    <w:p>
      <w:r>
        <w:t>1）数据中心收入与位出货是否共同增长；不能只靠单价上升</w:t>
      </w:r>
    </w:p>
    <w:p>
      <w:r>
        <w:t>2）企业SSD客户认证是否变成重复订单，客户基础是否扩大</w:t>
      </w:r>
    </w:p>
    <w:p>
      <w:r>
        <w:t>3）NBM覆盖位元、提货、价格机制与押金变化是否一致；预收款增长不能替代收入确认</w:t>
      </w:r>
    </w:p>
    <w:p>
      <w:r>
        <w:t>4）毛利率下降若发生，是短期组合变化、成本问题，还是定价全面转弱</w:t>
      </w:r>
    </w:p>
    <w:p>
      <w:r>
        <w:t>5）BiCS10与第九代QLC良率、成本和客户适配是否符合进度；不把送样当规模量产</w:t>
      </w:r>
    </w:p>
    <w:p>
      <w:r>
        <w:t>6）调整后现金流能否跟上营业利润，尤其扣掉预付款和合资资金后</w:t>
      </w:r>
    </w:p>
    <w:p>
      <w:r>
        <w:t>7）库存、应收款、客户负债与现金税是否出现不合理积累</w:t>
      </w:r>
    </w:p>
    <w:p>
      <w:r>
        <w:t>8）回购是否真正降低摊薄股数，同时保留足够现金承担制造与研发承诺</w:t>
      </w:r>
    </w:p>
    <w:p/>
    <w:p>
      <w:r>
        <w:t>研究方法上，至少连看两到三个季度。单个季度因发货和收款时点失真并不少见，持续方向更重要。</w:t>
      </w:r>
    </w:p>
    <w:p/>
    <w:p>
      <w:pPr>
        <w:pStyle w:val="Heading2"/>
      </w:pPr>
      <w:r>
        <w:t>21. 哪些情况意味着逻辑证伪</w:t>
      </w:r>
    </w:p>
    <w:p/>
    <w:p>
      <w:r>
        <w:t>证伪不是股价跌10%，也不是某个季度少卖一点消费产品。</w:t>
      </w:r>
    </w:p>
    <w:p/>
    <w:p>
      <w:r>
        <w:t>若长约大量推迟、重谈或违约，而财务保障不足以补偿，说明“合同化显著降低周期风险”的核心判断需要撤回。</w:t>
      </w:r>
    </w:p>
    <w:p/>
    <w:p>
      <w:r>
        <w:t>若企业SSD增长长期落后行业、重要客户验证失败，且不是公司主动选择更高回报订单，说明从颗粒供应商向高价值系统产品升级遇到实质障碍。</w:t>
      </w:r>
    </w:p>
    <w:p/>
    <w:p>
      <w:r>
        <w:t>若连续数季售价下跌、单位成本不降、库存与应收积压一起恶化，且调整后现金流明显低于利润，说明盈利质量和资本回收都出现问题。</w:t>
      </w:r>
    </w:p>
    <w:p/>
    <w:p>
      <w:r>
        <w:t>若资本承诺快速扩张，而需求证明不足、利用率走低，则所谓高ROIC可能只剩账面结构的帮助，未来必须重新定价。</w:t>
      </w:r>
    </w:p>
    <w:p/>
    <w:p>
      <w:r>
        <w:t>若HBF进度不顺，首先应删掉对它的额外估值，不必因此否定整个NAND业务；只有在市场估值已主要依赖HBF，而主营也不能支撑价格时，才构成更广泛的投资逻辑破坏。</w:t>
      </w:r>
    </w:p>
    <w:p/>
    <w:p>
      <w:pPr>
        <w:pStyle w:val="Heading2"/>
      </w:pPr>
      <w:r>
        <w:t>22. 最新动态</w:t>
      </w:r>
    </w:p>
    <w:p/>
    <w:p>
      <w:r>
        <w:t>7月2日至3日：BiCS10 TLC送样，并宣布在北上K2开始第十代产品生产。开始生产与全面良率成熟、全量交付不是同一个时间点。[铠侠联合公告](https://apac.kioxia.com/en-apac/about/news/2026/20260703-2.html)</w:t>
      </w:r>
    </w:p>
    <w:p/>
    <w:p>
      <w:r>
        <w:t>8月3日：与SK海力士发布HBF首版OCP技术规范，扩大生态合作；目前应按技术及标准化里程碑理解。</w:t>
      </w:r>
    </w:p>
    <w:p/>
    <w:p>
      <w:r>
        <w:t>8月5日：公布2026财年业绩、第一财季收入103至108亿美元和调整后每股收益44至46美元指引，并增加140亿美元回购授权。</w:t>
      </w:r>
    </w:p>
    <w:p/>
    <w:p>
      <w:r>
        <w:t>8月13日：管理层给出2028至2030财年长期框架：收入按十几个百分点中高段增长，调整后毛利率约80%、营业利润率约75%、调整后自由现金流率约50%；在业务投入后计划将超额现金全部返还股东。都是目标与预测，不能当已实现财务。</w:t>
      </w:r>
    </w:p>
    <w:p/>
    <w:p>
      <w:r>
        <w:t>8月27日：与铠侠宣布预计到2032年在日本合计投入超过310亿美元，计划以政府支持为条件。这是双方多年总计划，不能全部计入闪迪一家、也不能当成明年一次性支出。[联合投资公告](https://www.sandisk.com/company/newsroom/press-releases/2026/2026-08-27-kioxia-and-sandisk-to-invest-over-31-billion-in-japan-extending-leadership-in-memory-industry)</w:t>
      </w:r>
    </w:p>
    <w:p/>
    <w:p>
      <w:r>
        <w:t>9月9日：修订循环信贷安排，额度15亿美元，到期日2031年9月9日。未动用额度是备用流动性，不是已持有的现金。[9月11日8-K](https://www.sec.gov/Archives/edgar/data/2023554/000119312526389293/d138343d8k.htm)</w:t>
      </w:r>
    </w:p>
    <w:p/>
    <w:p>
      <w:r>
        <w:t>9月29日：正式公告10月29日发布2027财年第一季业绩。10月1日同行财报和券商讨论强化NAND供需预期，但它们不能代替闪迪自己的最新执行数据。</w:t>
      </w:r>
    </w:p>
    <w:p/>
    <w:p>
      <w:r>
        <w:t>我目前对SNDK的理解</w:t>
      </w:r>
    </w:p>
    <w:p/>
    <w:p>
      <w:r>
        <w:t>它已经证明：在稀缺供给、产品升级和强客户需求同时出现时，NAND可以创造远高于旧周期的利润与现金流。</w:t>
      </w:r>
    </w:p>
    <w:p/>
    <w:p>
      <w:r>
        <w:t>下一道题是：把这些利润留下来的机制，究竟来自可复制的技术与合约优势，还是仍主要依赖此刻的行业稀缺。</w:t>
      </w:r>
    </w:p>
    <w:p/>
    <w:p>
      <w:r>
        <w:t>最值得追踪的不是“AI会不会继续需要存储”，而是“当供给增加、客户开始讨价还价之后，闪迪能保住多少利润、付出多少资本，并最终留下多少每股现金”。这是今天价格背后真正的验证题。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页码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