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WDC｜Western Digital（西部数据）个股档案·投研版</w:t>
      </w:r>
    </w:p>
    <w:p/>
    <w:p>
      <w:pPr>
        <w:spacing w:after="120"/>
      </w:pPr>
      <w:r>
        <w:t>资料截止：2026年10月2日。行情基准：2026年10月1日美股常规交易收盘，不混入盘后、夜盘。股价462.56美元，单日上涨1.78%；成交616.73万股。按最近披露的2026年8月7日3.60540944亿股已发行普通股估算，市值约1,667.72亿美元；这不是完全稀释后股权价值。</w:t>
      </w:r>
    </w:p>
    <w:p/>
    <w:p>
      <w:pPr>
        <w:spacing w:after="120"/>
      </w:pPr>
      <w:r>
        <w:t>本篇研究的是拆分闪存业务后的HDD公司。2025年2月21日是法律上的分拆完成日，2月24日是新SanDisk开始常规独立交易的时间。不能把旧WDC的闪存收入、现在SNDK的增长与WDC的硬盘业务混成一个投资故事。[公司分拆公告](https://investor.wdc.com/news-releases/news-release-details/western-digital-completes-planned-company-separation)</w:t>
      </w:r>
    </w:p>
    <w:p/>
    <w:p>
      <w:pPr>
        <w:pStyle w:val="Heading2"/>
      </w:pPr>
      <w:r>
        <w:t>先给核心结论</w:t>
      </w:r>
    </w:p>
    <w:p/>
    <w:p>
      <w:pPr>
        <w:pStyle w:val="ListBullet"/>
      </w:pPr>
      <w:r>
        <w:t>WDC现在的核心资产，是为云数据中心提供低成本大容量机械硬盘的技术、量产体系和客户认证关系。它受益于AI产生的数据需要长期保存，但不生产GPU旁边的HBM，也不是NAND涨价的直接标的。</w:t>
      </w:r>
    </w:p>
    <w:p>
      <w:pPr>
        <w:pStyle w:val="ListBullet"/>
      </w:pPr>
      <w:r>
        <w:t>商业模式确实在改善。高容量产品、供应纪律、客户长约叠加，正在把一家传统周期制造商推向更高利润率。但“更好的周期公司”与“没有周期的成长公司”相差很远。</w:t>
      </w:r>
    </w:p>
    <w:p>
      <w:pPr>
        <w:pStyle w:val="ListBullet"/>
      </w:pPr>
      <w:r>
        <w:t>2026财年收入129.19亿美元，调整后每股收益10.22美元，最新季度调整后毛利率54.4%，都是实打实的经营改善；法定每股收益24.28美元却包含巨额SanDisk持股收益，不能拿来证明股票只有约19倍市盈率。</w:t>
      </w:r>
    </w:p>
    <w:p>
      <w:pPr>
        <w:pStyle w:val="ListBullet"/>
      </w:pPr>
      <w:r>
        <w:t>截至2026年7月3日，WDC已经处置完保留的SanDisk股份。今天再给WDC加上“一大块SNDK股权”的估值，是重复计算不存在的资产。</w:t>
      </w:r>
    </w:p>
    <w:p>
      <w:pPr>
        <w:pStyle w:val="ListBullet"/>
      </w:pPr>
      <w:r>
        <w:t>462.56美元对应过去一年调整后收益约45.3倍；把下一季度指引简单乘四，约28.9倍。价格要求未来利润继续上台阶，不能因为距离盘中高点已跌约42%就叫便宜。</w:t>
      </w:r>
    </w:p>
    <w:p>
      <w:pPr>
        <w:pStyle w:val="ListBullet"/>
      </w:pPr>
      <w:r>
        <w:t>最大技术问题是：成熟的ePMR与UltraSMR还能维持多久的成本优势，以及HAMR能否按客户需要可靠放量。最大经济问题是：现在很高的价格和毛利率，多少来自持久改善，多少来自紧缺。</w:t>
      </w:r>
    </w:p>
    <w:p>
      <w:pPr>
        <w:pStyle w:val="ListBullet"/>
      </w:pPr>
      <w:r>
        <w:t>当前图形是大幅回撤后的修复，尚未恢复中期上升结构。基本面好转、估值合理、技术确认，是三件需要分别验证的事。</w:t>
      </w:r>
    </w:p>
    <w:p/>
    <w:p>
      <w:pPr>
        <w:pStyle w:val="Heading2"/>
      </w:pPr>
      <w:r>
        <w:t>1. 一句话看懂公司</w:t>
      </w:r>
    </w:p>
    <w:p/>
    <w:p>
      <w:pPr>
        <w:spacing w:after="120"/>
      </w:pPr>
      <w:r>
        <w:t>WDC是一家把海量数据“便宜、可靠地长期放好”的硬盘制造商，主要客户已经从个人电脑厂商转向大型云服务商和企业数据中心。</w:t>
      </w:r>
    </w:p>
    <w:p/>
    <w:p>
      <w:pPr>
        <w:spacing w:after="120"/>
      </w:pPr>
      <w:r>
        <w:t>如果把AI基础设施比作工厂，GPU是加工机器，DRAM/HBM是机器身边的工作台，SSD是高效周转区，HDD更接近巨大的原料仓和成品仓。工作台要求快，仓库首先要求单位容量便宜、可靠、可扩展。AI越忙，未必每一种存储都按同样速度增长，更不意味着HDD会直接替代高性能内存。</w:t>
      </w:r>
    </w:p>
    <w:p/>
    <w:p>
      <w:pPr>
        <w:spacing w:after="120"/>
      </w:pPr>
      <w:r>
        <w:t>因此，看WDC最重要的单位不是“卖了多少块硬盘”，而是“交付了多少存储容量，每单位容量赚了多少钱，升级产品需要投入多少资本”。</w:t>
      </w:r>
    </w:p>
    <w:p/>
    <w:p>
      <w:pPr>
        <w:pStyle w:val="Heading2"/>
      </w:pPr>
      <w:r>
        <w:t>2. 商业模式</w:t>
      </w:r>
    </w:p>
    <w:p/>
    <w:p>
      <w:pPr>
        <w:spacing w:after="120"/>
      </w:pPr>
      <w:r>
        <w:t>第一层，设计并制造硬盘。公司掌握磁头、磁性介质、机械结构、控制器与固件的整合能力，再通过自有制造和供应链把它们变成合格产品。价值不仅来自容量，还来自大批量运行时的可靠性。</w:t>
      </w:r>
    </w:p>
    <w:p/>
    <w:p>
      <w:pPr>
        <w:spacing w:after="120"/>
      </w:pPr>
      <w:r>
        <w:t>第二层，与客户共同规划。云厂商不能把新型号买来就立即大规模替换，需要验证故障率、功耗、性能、软件兼容性和数据恢复流程。一旦进入认证和部署体系，更换供应商有成本，但客户仍会维持多供应商采购。</w:t>
      </w:r>
    </w:p>
    <w:p/>
    <w:p>
      <w:pPr>
        <w:spacing w:after="120"/>
      </w:pPr>
      <w:r>
        <w:t>第三层，产品与合同共同决定利润。更高容量有望摊薄机壳、电机、电子元件等成本；长期采购安排提高产能规划的可见度。两者结合，才可能改善回报。</w:t>
      </w:r>
    </w:p>
    <w:p/>
    <w:p>
      <w:pPr>
        <w:spacing w:after="120"/>
      </w:pPr>
      <w:r>
        <w:t>但长约不是单方面的免费保险。年报披露，部分合同包含预定或公式定价：行情继续涨，WDC可能无法把全部涨价都拿到；成本上升时，也可能先承受压力。判断合同价值，要同时看数量、价格、交付义务与客户履约能力，不能只数“锁单到哪一年”。[2026财年年报](https://www.sec.gov/Archives/edgar/data/106040/000162828026057139/wdc-20260703.htm)</w:t>
      </w:r>
    </w:p>
    <w:p/>
    <w:p>
      <w:pPr>
        <w:pStyle w:val="Heading2"/>
      </w:pPr>
      <w:r>
        <w:t>3. 收入结构</w:t>
      </w:r>
    </w:p>
    <w:p/>
    <w:p>
      <w:pPr>
        <w:spacing w:after="120"/>
      </w:pPr>
      <w:r>
        <w:t>2026财年持续经营收入129.19亿美元，按终端市场分：</w:t>
      </w:r>
    </w:p>
    <w:p/>
    <w:p>
      <w:pPr>
        <w:pStyle w:val="ListBullet"/>
      </w:pPr>
      <w:r>
        <w:t>云端：114.90亿美元，占88.9%，同比增长约37.8%</w:t>
      </w:r>
    </w:p>
    <w:p>
      <w:pPr>
        <w:pStyle w:val="ListBullet"/>
      </w:pPr>
      <w:r>
        <w:t>客户端：7.26亿美元，占5.6%，同比增长约30.6%</w:t>
      </w:r>
    </w:p>
    <w:p>
      <w:pPr>
        <w:pStyle w:val="ListBullet"/>
      </w:pPr>
      <w:r>
        <w:t>消费市场：7.03亿美元，占5.4%，同比增长约12.8%</w:t>
      </w:r>
    </w:p>
    <w:p/>
    <w:p>
      <w:pPr>
        <w:spacing w:after="120"/>
      </w:pPr>
      <w:r>
        <w:t>这三项是终端市场分类，不是三个各自独立的可报告业务分部。现有WDC实质上是一个HDD业务。</w:t>
      </w:r>
    </w:p>
    <w:p/>
    <w:p>
      <w:pPr>
        <w:spacing w:after="120"/>
      </w:pPr>
      <w:r>
        <w:t>年报把整体收入增长拆成售出容量约增长25%、每单位容量平均售价约增长8%。两者相乘，约为35%的增长，接近披露的36%，差额与四舍五入有关。这比一句“AI推动收入大增”更有用，因为下一阶段要判断容量和价格各自能持续多久。</w:t>
      </w:r>
    </w:p>
    <w:p/>
    <w:p>
      <w:pPr>
        <w:spacing w:after="120"/>
      </w:pPr>
      <w:r>
        <w:t>另外，2026财年有53周，比2025财年多一周，额外一周在第一季度；全年同比不是完全相同长度的比较。地域收入按照客户收货地点统计，不等于最终消费所在地，也不能直接推导美国或中国企业的需求占比。</w:t>
      </w:r>
    </w:p>
    <w:p/>
    <w:p>
      <w:pPr>
        <w:spacing w:after="120"/>
      </w:pPr>
      <w:r>
        <w:t>最新季度出货231EB，其中近线存储209EB、其他22EB。EB是十亿GB的数量级；它衡量容量，不能与硬盘块数混用。[公司第四季度演示资料，第4—5页](https://investor.wdc.com/static-files/e1f02f77-4432-42c3-8bd4-024371f40e54)</w:t>
      </w:r>
    </w:p>
    <w:p/>
    <w:p>
      <w:pPr>
        <w:pStyle w:val="Heading2"/>
      </w:pPr>
      <w:r>
        <w:t>4. 行业地位</w:t>
      </w:r>
    </w:p>
    <w:p/>
    <w:p>
      <w:pPr>
        <w:spacing w:after="120"/>
      </w:pPr>
      <w:r>
        <w:t>HDD是高度集中的行业，主要制造商包括Western Digital、Seagate和Toshiba。真正的竞争壁垒，不是注册一个硬盘品牌，而是把磁记录技术、精密制造、良率、固件和大客户认证同时做到可规模化。</w:t>
      </w:r>
    </w:p>
    <w:p/>
    <w:p>
      <w:pPr>
        <w:spacing w:after="120"/>
      </w:pPr>
      <w:r>
        <w:t>WDC属于头部厂商，但本文不使用未经统一口径核验的精确市场份额。按出货块数、出货容量或收入排名，答案可能不同；把消费者小容量盘与数据中心大容量盘混算，也容易得到误导性结论。</w:t>
      </w:r>
    </w:p>
    <w:p/>
    <w:p>
      <w:pPr>
        <w:spacing w:after="120"/>
      </w:pPr>
      <w:r>
        <w:t>行业集中有利于供应纪律，却不自动带来永久定价权。客户端同样集中，而且是采购能力很强的大型云厂商。供应商数量少、买家也很大，是双方持续博弈的结构。</w:t>
      </w:r>
    </w:p>
    <w:p/>
    <w:p>
      <w:pPr>
        <w:spacing w:after="120"/>
      </w:pPr>
      <w:r>
        <w:t>更长远的竞争发生在存储分层：SSD继续占领高性能层，HDD守住容量层，磁带等技术负责更冷的数据。WDC需要证明的是自身在适合的层级里持续降低总成本，而不是证明任何场景都应该用硬盘。</w:t>
      </w:r>
    </w:p>
    <w:p/>
    <w:p>
      <w:pPr>
        <w:pStyle w:val="Heading2"/>
      </w:pPr>
      <w:r>
        <w:t>5. 核心竞争力</w:t>
      </w:r>
    </w:p>
    <w:p/>
    <w:p>
      <w:pPr>
        <w:spacing w:after="120"/>
      </w:pPr>
      <w:r>
        <w:t>一是每单位容量的经济性。容量增加时，若整盘成本增长慢于容量增长，客户每TB成本下降，公司也可能保留一部分价值。但增加盘片、采用新磁头、良率波动，都会吃掉理论收益。</w:t>
      </w:r>
    </w:p>
    <w:p/>
    <w:p>
      <w:pPr>
        <w:spacing w:after="120"/>
      </w:pPr>
      <w:r>
        <w:t>二是长期可靠性和认证。云厂商买的不是一块能跑测试的样品，而是数十万、数百万块盘在实际环境中的稳定表现。供应商积累的失效数据、制造控制和现场支持很难短期复制。</w:t>
      </w:r>
    </w:p>
    <w:p/>
    <w:p>
      <w:pPr>
        <w:spacing w:after="120"/>
      </w:pPr>
      <w:r>
        <w:t>三是纵向整合。自有磁头、介质和整盘能力，让关键环节能协同优化，降低完全依赖外部元件的风险。代价是研发和固定资产必须不断更新，技术方向押错时也会更重。</w:t>
      </w:r>
    </w:p>
    <w:p/>
    <w:p>
      <w:pPr>
        <w:spacing w:after="120"/>
      </w:pPr>
      <w:r>
        <w:t>四是双路线过渡。ePMR是能量辅助垂直磁记录；UltraSMR通过更紧密的磁道布局增加容量，但需要适配写入行为；HAMR通过局部加热帮助提高记录密度。WDC试图利用成熟路线继续赚钱，同时准备下一代，而不是要求所有客户同时切换。[2026创新日公告](https://wdc.gcs-web.com/news-releases/news-release-details/western-digital-accelerates-storage-innovation-ai-era)</w:t>
      </w:r>
    </w:p>
    <w:p/>
    <w:p>
      <w:pPr>
        <w:spacing w:after="120"/>
      </w:pPr>
      <w:r>
        <w:t>护城河最终应表现为客户继续采购、单位成本下降和现金流，而不是发布会容量数字越来越大。</w:t>
      </w:r>
    </w:p>
    <w:p/>
    <w:p>
      <w:pPr>
        <w:pStyle w:val="Heading2"/>
      </w:pPr>
      <w:r>
        <w:t>6. 主要竞争对手</w:t>
      </w:r>
    </w:p>
    <w:p/>
    <w:p>
      <w:pPr>
        <w:spacing w:after="120"/>
      </w:pPr>
      <w:r>
        <w:t>Seagate是最直接的比较对象。应比较近线容量增长、HAMR商业化、毛利率、良率、资本开支与现金回报，而不是只看两家公司股价谁涨得多。WDC的成熟技术过渡策略有优势，也可能面临对手提前积累下一代量产经验的压力。</w:t>
      </w:r>
    </w:p>
    <w:p/>
    <w:p>
      <w:pPr>
        <w:spacing w:after="120"/>
      </w:pPr>
      <w:r>
        <w:t>Toshiba是另一家重要HDD供应商。即使规模或产品组合不同，它对客户多元采购和供应价格仍有影响，不能把市场简单写成“只有两家”。</w:t>
      </w:r>
    </w:p>
    <w:p/>
    <w:p>
      <w:pPr>
        <w:spacing w:after="120"/>
      </w:pPr>
      <w:r>
        <w:t>间接竞争者包括提供企业SSD的SanDisk、Micron、Samsung、SK hynix/Solidigm等。它们竞争的是部分工作负载，而非所有HDD订单。SSD单TB售价更高，也可能用性能、机架空间、电力和维护优势拿下某些场景。</w:t>
      </w:r>
    </w:p>
    <w:p/>
    <w:p>
      <w:pPr>
        <w:spacing w:after="120"/>
      </w:pPr>
      <w:r>
        <w:t>所以判断替代，必须同等可靠性、同等工作负载、同等服务水平比较总拥有成本。只拿消费级SSD促销价对企业HDD报价，或者只比较读写速度，都不足以支撑长期结论。</w:t>
      </w:r>
    </w:p>
    <w:p/>
    <w:p>
      <w:pPr>
        <w:pStyle w:val="Heading2"/>
      </w:pPr>
      <w:r>
        <w:t>7. 未来12—24个月增长逻辑</w:t>
      </w:r>
    </w:p>
    <w:p/>
    <w:p>
      <w:pPr>
        <w:spacing w:after="120"/>
      </w:pPr>
      <w:r>
        <w:t>第一，容量需求扩张。云应用、视频、AI训练数据、模型输出和备份增加了需要保存的数据。但生成的数据不一定全部保留，客户还会去重、压缩和设置生命周期，不能把全球数据生成增速直接当WDC收入增速。</w:t>
      </w:r>
    </w:p>
    <w:p/>
    <w:p>
      <w:pPr>
        <w:spacing w:after="120"/>
      </w:pPr>
      <w:r>
        <w:t>第二，40TB产品从出货走向规模。8月披露的季度资料已经确认下一代ePMR、最高40TB产品开始出货，不能再把它写成仍停留在2月的认证阶段。真正需要跟踪的是收入占比、客户数量和良率，而不是“已经发布”。</w:t>
      </w:r>
    </w:p>
    <w:p/>
    <w:p>
      <w:pPr>
        <w:spacing w:after="120"/>
      </w:pPr>
      <w:r>
        <w:t>第三，HAMR的客户验证与商业放量。公司2月计划2027年量产爬坡，100TB属于更长期的2029年路线目标。应把路线图、样品、认证完成、量产和达到经济性五个阶段分开，不能一次性算进明年盈利。</w:t>
      </w:r>
    </w:p>
    <w:p/>
    <w:p>
      <w:pPr>
        <w:spacing w:after="120"/>
      </w:pPr>
      <w:r>
        <w:t>第四，价格与成本的剪刀差。当前收入增长已包含单容量售价提高。如果下一年涨价放缓，只要单位成本继续下降，利润仍可能增长；如果涨价停止而成本没有改善，盈利弹性会迅速反向。</w:t>
      </w:r>
    </w:p>
    <w:p/>
    <w:p>
      <w:pPr>
        <w:spacing w:after="120"/>
      </w:pPr>
      <w:r>
        <w:t>第五，资本结构简化。债务减少有助于降低利息，但可转债清理可能带来现金支出或股份变化。回购、转股、员工股权激励必须放在同一张股数表里看。</w:t>
      </w:r>
    </w:p>
    <w:p/>
    <w:p>
      <w:pPr>
        <w:spacing w:after="120"/>
      </w:pPr>
      <w:r>
        <w:t>第六，性能与平台创新拓宽市场。高带宽硬盘、双执行机构和管理软件可能扩大HDD适用范围，但目前更适合作为期权，不能按成熟软件订阅业务估值。[创新日演示资料](https://investor.wdc.com/static-files/c4cec531-0128-4c17-b9c2-f25644c658db)</w:t>
      </w:r>
    </w:p>
    <w:p/>
    <w:p>
      <w:pPr>
        <w:pStyle w:val="Heading2"/>
      </w:pPr>
      <w:r>
        <w:t>8. 核心财务指标</w:t>
      </w:r>
    </w:p>
    <w:p/>
    <w:p>
      <w:pPr>
        <w:spacing w:after="120"/>
      </w:pPr>
      <w:r>
        <w:t>以下金额统一为亿美元；每股收益为美元。利润表使用持续经营口径，避免把SanDisk营业收入加回。</w:t>
      </w:r>
    </w:p>
    <w:p/>
    <w:p>
      <w:pPr>
        <w:spacing w:after="120"/>
      </w:pPr>
      <w:r>
        <w:t>2026财年全年，截至2026年7月3日：</w:t>
      </w:r>
    </w:p>
    <w:p/>
    <w:p>
      <w:pPr>
        <w:pStyle w:val="ListBullet"/>
      </w:pPr>
      <w:r>
        <w:t>营业收入：129.19；上年95.20，同比增长36%</w:t>
      </w:r>
    </w:p>
    <w:p>
      <w:pPr>
        <w:pStyle w:val="ListBullet"/>
      </w:pPr>
      <w:r>
        <w:t>法定毛利率：48.9%；调整后毛利率49.1%</w:t>
      </w:r>
    </w:p>
    <w:p>
      <w:pPr>
        <w:pStyle w:val="ListBullet"/>
      </w:pPr>
      <w:r>
        <w:t>法定营业利润：44.53；调整后营业利润48.17</w:t>
      </w:r>
    </w:p>
    <w:p>
      <w:pPr>
        <w:pStyle w:val="ListBullet"/>
      </w:pPr>
      <w:r>
        <w:t>法定营业利润率：34.5%；调整后营业利润率37.3%</w:t>
      </w:r>
    </w:p>
    <w:p>
      <w:pPr>
        <w:pStyle w:val="ListBullet"/>
      </w:pPr>
      <w:r>
        <w:t>持续经营净利润：94.24</w:t>
      </w:r>
    </w:p>
    <w:p>
      <w:pPr>
        <w:pStyle w:val="ListBullet"/>
      </w:pPr>
      <w:r>
        <w:t>按稀释口径归属普通股的净利润：92.98；调整后38.83</w:t>
      </w:r>
    </w:p>
    <w:p>
      <w:pPr>
        <w:pStyle w:val="ListBullet"/>
      </w:pPr>
      <w:r>
        <w:t>法定稀释每股收益：24.28；调整后10.22，上年可比调整后5.02</w:t>
      </w:r>
    </w:p>
    <w:p>
      <w:pPr>
        <w:pStyle w:val="ListBullet"/>
      </w:pPr>
      <w:r>
        <w:t>研发费用：11.61；股权激励费用2.04</w:t>
      </w:r>
    </w:p>
    <w:p/>
    <w:p>
      <w:pPr>
        <w:spacing w:after="120"/>
      </w:pPr>
      <w:r>
        <w:t>2026财年第四季度，截至2026年7月3日：</w:t>
      </w:r>
    </w:p>
    <w:p/>
    <w:p>
      <w:pPr>
        <w:pStyle w:val="ListBullet"/>
      </w:pPr>
      <w:r>
        <w:t>营业收入：37.47，同比增长44%，环比增长12%</w:t>
      </w:r>
    </w:p>
    <w:p>
      <w:pPr>
        <w:pStyle w:val="ListBullet"/>
      </w:pPr>
      <w:r>
        <w:t>法定毛利率：54.1%；调整后54.4%</w:t>
      </w:r>
    </w:p>
    <w:p>
      <w:pPr>
        <w:pStyle w:val="ListBullet"/>
      </w:pPr>
      <w:r>
        <w:t>法定营业利润：15.63；调整后16.55</w:t>
      </w:r>
    </w:p>
    <w:p>
      <w:pPr>
        <w:pStyle w:val="ListBullet"/>
      </w:pPr>
      <w:r>
        <w:t>调整后营业利润率：44.2%</w:t>
      </w:r>
    </w:p>
    <w:p>
      <w:pPr>
        <w:pStyle w:val="ListBullet"/>
      </w:pPr>
      <w:r>
        <w:t>法定稀释每股收益：8.21；调整后3.56</w:t>
      </w:r>
    </w:p>
    <w:p>
      <w:pPr>
        <w:pStyle w:val="ListBullet"/>
      </w:pPr>
      <w:r>
        <w:t>经营现金流：13.89；自由现金流12.81</w:t>
      </w:r>
    </w:p>
    <w:p/>
    <w:p>
      <w:pPr>
        <w:spacing w:after="120"/>
      </w:pPr>
      <w:r>
        <w:t>期末资产负债表：现金及等价物15.79，有息债务账面值10.52，净现金约5.27；存货15.11，应收账款20.26，商誉43.21。净现金是该时点的账面口径，不代表可转债的全部经济结算成本已经消失。</w:t>
      </w:r>
    </w:p>
    <w:p/>
    <w:p>
      <w:pPr>
        <w:spacing w:after="120"/>
      </w:pPr>
      <w:r>
        <w:t>最重要的质量调整：全年SanDisk保留股权收益64.98，远高于普通的非经常小项目；与此同时，债务与股权交易也产生费用，税项另有影响。因此不能只从法定净利润机械减去一个收益就冒充公司调整后利润，要看完整调节表。</w:t>
      </w:r>
    </w:p>
    <w:p/>
    <w:p>
      <w:pPr>
        <w:spacing w:after="120"/>
      </w:pPr>
      <w:r>
        <w:t>公司从2026财年开始，调整后稀释股数还纳入封顶看涨期权对部分稀释的抵销，并重列可比期间。第三方数据库中的旧季度EPS可能仍用旧分母。本文财报比较以最新公司重列表为准。[第四季度及全年业绩原文](https://www.sec.gov/Archives/edgar/data/106040/000162828026053305/a4ex991-pressreleaseq426.htm)</w:t>
      </w:r>
    </w:p>
    <w:p/>
    <w:p>
      <w:pPr>
        <w:pStyle w:val="Heading2"/>
      </w:pPr>
      <w:r>
        <w:t>9. 资本开支 / 自由现金流 / 投入资本回报率</w:t>
      </w:r>
    </w:p>
    <w:p/>
    <w:p>
      <w:pPr>
        <w:spacing w:after="120"/>
      </w:pPr>
      <w:r>
        <w:t>资本开支：2026财年购建固定资产现金支出4.18亿美元，占收入3.24%。这是HDD主体的财务特征，不能套用NAND晶圆厂合资投资的资本强度。</w:t>
      </w:r>
    </w:p>
    <w:p/>
    <w:p>
      <w:pPr>
        <w:spacing w:after="120"/>
      </w:pPr>
      <w:r>
        <w:t>自由现金流：经营现金流39.29减资本开支4.18，得到35.11亿美元，自由现金流率27.18%。第四季度对应13.89减1.08，得到12.81，自由现金流率34.19%。这比含股权重估的净利润更能说明当前经营兑现。</w:t>
      </w:r>
    </w:p>
    <w:p/>
    <w:p>
      <w:pPr>
        <w:spacing w:after="120"/>
      </w:pPr>
      <w:r>
        <w:t>注意三个限制。首先，现金流加回股权激励，不等于股东没有成本。其次，营运资本和缴税时点会影响季度数字，不能把最好一季永久化。第三，2025财年现金流仍含拆分前Flash，官方自由现金流还处理了Flash Ventures相关活动；即使利润表已重列为HDD，现金流也没有因此自动变成纯HDD历史数据。</w:t>
      </w:r>
    </w:p>
    <w:p/>
    <w:p>
      <w:pPr>
        <w:spacing w:after="120"/>
      </w:pPr>
      <w:r>
        <w:t>投入资本回报率的透明近似：用法定营业利润44.53乘假设正常税后比例83%，得到税后营业利润约36.96。分母采用期初期末平均“权益＋有息债务＋优先股－现金－非经营SanDisk持股”：2025年末约77.83，2026年末约83.37，平均80.60亿美元，得到约45.9%。</w:t>
      </w:r>
    </w:p>
    <w:p/>
    <w:p>
      <w:pPr>
        <w:spacing w:after="120"/>
      </w:pPr>
      <w:r>
        <w:t>这不是公司正式披露的标准化ROIC。17%是参照下一季度调整后指引的税率假设，不是FY26受特殊税项影响的实际税率；分母保留商誉，未把研发资本化，未对经营租赁做完整资本化调整，也不能消除年内股权处置和转股的时点影响。若剔除43亿美元商誉，结果会大幅上升，说明口径敏感性很强。它证明当前利润相对账面资本很高，不能证明跨周期回报也永久如此。</w:t>
      </w:r>
    </w:p>
    <w:p/>
    <w:p>
      <w:pPr>
        <w:pStyle w:val="Heading2"/>
      </w:pPr>
      <w:r>
        <w:t>10. 估值框架</w:t>
      </w:r>
    </w:p>
    <w:p/>
    <w:p>
      <w:pPr>
        <w:spacing w:after="120"/>
      </w:pPr>
      <w:r>
        <w:t>首选“正常化每股盈利＋自由现金流”，用企业价值倍数作交叉检查，尽量避开被SNDK收益放大的法定市盈率。</w:t>
      </w:r>
    </w:p>
    <w:p/>
    <w:p>
      <w:pPr>
        <w:spacing w:after="120"/>
      </w:pPr>
      <w:r>
        <w:t>以462.56美元计算：过去一年调整后EPS10.22对应45.3倍；最新季度3.56简单年化对应32.5倍；下一季度公司指引中点4.00简单年化对应28.9倍。后两者只是运行速度，不是全年盈利预测。</w:t>
      </w:r>
    </w:p>
    <w:p/>
    <w:p>
      <w:pPr>
        <w:spacing w:after="120"/>
      </w:pPr>
      <w:r>
        <w:t>按3.6054亿已发行股估算的市值约1,667.72亿美元，加债减现金得到企业价值约1,662.45亿美元；相对于FY26收入约12.9倍，相对于调整后营业利润约34.5倍。这里股数基准是8月7日，资产负债表是7月3日，属于注明日期的近似比较，不是同日精算。</w:t>
      </w:r>
    </w:p>
    <w:p/>
    <w:p>
      <w:pPr>
        <w:spacing w:after="120"/>
      </w:pPr>
      <w:r>
        <w:t>过去一年自由现金流收益率约2.1%。即使经营表现出色，买入价仍主要在支付未来增长。若改用3.88亿调整后稀释股数，股权价值约1,794.73亿美元，经济负担会更高。不能使用小分母算便宜市值，再使用大分母对应的每股盈利而不说明。</w:t>
      </w:r>
    </w:p>
    <w:p/>
    <w:p>
      <w:pPr>
        <w:spacing w:after="120"/>
      </w:pPr>
      <w:r>
        <w:t>估值最容易错的三步：用24.28美元法定EPS套市盈率；在净现金之外再加已卖掉的SNDK持股；把回购授权全部视为即刻减少股数。三项都应排除。</w:t>
      </w:r>
    </w:p>
    <w:p/>
    <w:p>
      <w:pPr>
        <w:spacing w:after="120"/>
      </w:pPr>
      <w:r>
        <w:t>我的判断是：这是一家盈利改善已发生、价格仍要求继续改善的公司。估值折扣应反映利润率周期、技术转换和稀释，不宜用“AI基础设施”四个字跳过这些问题。</w:t>
      </w:r>
    </w:p>
    <w:p/>
    <w:p>
      <w:pPr>
        <w:pStyle w:val="Heading2"/>
      </w:pPr>
      <w:r>
        <w:t>11. 牛 / 基准 / 熊三情景</w:t>
      </w:r>
    </w:p>
    <w:p/>
    <w:p>
      <w:pPr>
        <w:spacing w:after="120"/>
      </w:pPr>
      <w:r>
        <w:t>以下是自行建立的未来12—24个月、面向2028财年盈利能力的敏感性框架，不是公司指引，也不是价格承诺。收入与利润率用区间表达，边界不是精确预测；股价区间来自相应EPS与市盈率区间的组合。</w:t>
      </w:r>
    </w:p>
    <w:p/>
    <w:p>
      <w:pPr>
        <w:spacing w:after="120"/>
      </w:pPr>
      <w:r>
        <w:t>牛情景：年收入250—280亿美元，调整后营业利润率48%—51%，正常税率约17%，稀释股数约3.75—3.85亿。高容量爬坡顺利，价格纪律保持，HAMR没有损害良率。按低收入、低利润率、高股数与相反的高情景配对，每股盈利约25.9—31.6美元；市场愿意付26—29倍，对应约673—916美元。</w:t>
      </w:r>
    </w:p>
    <w:p/>
    <w:p>
      <w:pPr>
        <w:spacing w:after="120"/>
      </w:pPr>
      <w:r>
        <w:t>基准情景：年收入200—230亿美元，调整后营业利润率43%—46%，正常税率约17%，稀释股数约3.8—3.9亿。容量持续增长，但涨价趋缓；新技术收益与投入大体匹配。按同样方法配对，每股盈利约18.3—23.1美元，给予20—24倍，对应约366—554美元。</w:t>
      </w:r>
    </w:p>
    <w:p/>
    <w:p>
      <w:pPr>
        <w:spacing w:after="120"/>
      </w:pPr>
      <w:r>
        <w:t>熊情景：年收入160—180亿美元，调整后营业利润率30%—35%，正常税率约17%，股数约3.85—4.0亿。客户消化库存、单容量价格回落，技术过渡带来额外成本。按同样方法配对，每股盈利约10.0—13.6美元，给予15—18倍，对应约150—245美元。</w:t>
      </w:r>
    </w:p>
    <w:p/>
    <w:p>
      <w:pPr>
        <w:spacing w:after="120"/>
      </w:pPr>
      <w:r>
        <w:t>计算公式为：收入×调整后营业利润率×83%÷稀释股数；忽略相对较小的净利息支出，再按一位小数四舍五入。估值区间用低端EPS×低倍数、高端EPS×高倍数计算。未把一次性股权收益当经常利润，也没有承诺回购一定抵消转股。区间是多项假设共同变化的结果，不是“确定目标价”。</w:t>
      </w:r>
    </w:p>
    <w:p/>
    <w:p>
      <w:pPr>
        <w:spacing w:after="120"/>
      </w:pPr>
      <w:r>
        <w:t>462.56美元位于基准区间内部。若投资者要求20倍估值，就需要约23.13美元持续EPS；愿意付24倍，也需要约19.27美元。问题因此非常具体：未来经营盈利能否达到这个水平，以及到达时市场还愿不愿意给这个倍数。</w:t>
      </w:r>
    </w:p>
    <w:p/>
    <w:p>
      <w:pPr>
        <w:pStyle w:val="Heading2"/>
      </w:pPr>
      <w:r>
        <w:t>12. 核心催化剂</w:t>
      </w:r>
    </w:p>
    <w:p/>
    <w:p>
      <w:pPr>
        <w:spacing w:after="120"/>
      </w:pPr>
      <w:r>
        <w:t>第一，2027财年第一季度实际结果和后续指引。8月5日公司给出的收入指引40—42亿美元，调整后毛利率55%—56%，EPS3.85—4.15美元。超出市场预期比超过旧指引更重要。</w:t>
      </w:r>
    </w:p>
    <w:p/>
    <w:p>
      <w:pPr>
        <w:spacing w:after="120"/>
      </w:pPr>
      <w:r>
        <w:t>第二，40TB客户部署与产量提高。最好看到容量份额、客户认证和单位成本共同改善，而不是只增加出货新闻。</w:t>
      </w:r>
    </w:p>
    <w:p/>
    <w:p>
      <w:pPr>
        <w:spacing w:after="120"/>
      </w:pPr>
      <w:r>
        <w:t>第三，HAMR按计划完成关键认证。若更高容量能通过可靠性与成本考验，它会改善长期预期；如果只是发布样品，估值意义有限。</w:t>
      </w:r>
    </w:p>
    <w:p/>
    <w:p>
      <w:pPr>
        <w:spacing w:after="120"/>
      </w:pPr>
      <w:r>
        <w:t>第四，存储合同的可见度转化为现金和利润。客户实际提货、账期稳定、库存没有异常堆积，才是长约兑现。</w:t>
      </w:r>
    </w:p>
    <w:p/>
    <w:p>
      <w:pPr>
        <w:spacing w:after="120"/>
      </w:pPr>
      <w:r>
        <w:t>第五，资本结构进一步简化。9月14日公司宣布赎回剩余2028年可转债，预定赎回日为11月16日，持有人可在规定期限前转换。完成方式、现金与股数影响，比“将赎回”三个字更重要。[赎回公告](https://www.sec.gov/Archives/edgar/data/106040/000119312526389859/d23939dex991.htm)</w:t>
      </w:r>
    </w:p>
    <w:p/>
    <w:p>
      <w:pPr>
        <w:pStyle w:val="Heading2"/>
      </w:pPr>
      <w:r>
        <w:t>13. 最大风险</w:t>
      </w:r>
    </w:p>
    <w:p/>
    <w:p>
      <w:pPr>
        <w:spacing w:after="120"/>
      </w:pPr>
      <w:r>
        <w:t>首位风险是需求与价格的共振反转。现在容量增长、涨价、固定成本摊薄同时向好，反方向也可能同时发生。客户不需要停止使用云，只要扩容节奏低于预期，就足以改变库存和价格。</w:t>
      </w:r>
    </w:p>
    <w:p/>
    <w:p>
      <w:pPr>
        <w:spacing w:after="120"/>
      </w:pPr>
      <w:r>
        <w:t>第二是技术兑现风险。HAMR迟延可能损失客户和成本竞争力；过早放量又可能牺牲良率。UltraSMR并非任意软件环境都能无成本使用，适配需求会限制市场扩张。</w:t>
      </w:r>
    </w:p>
    <w:p/>
    <w:p>
      <w:pPr>
        <w:spacing w:after="120"/>
      </w:pPr>
      <w:r>
        <w:t>第三是客户集中。2026财年前十大客户贡献73%收入，三家分别约16%、15%、13%。客户规模大有利于稳定规划，也意味着少数采购决策具有很大影响。</w:t>
      </w:r>
    </w:p>
    <w:p/>
    <w:p>
      <w:pPr>
        <w:spacing w:after="120"/>
      </w:pPr>
      <w:r>
        <w:t>第四是供应链、灾害与地缘风险。HDD依赖精密元件，制造跨地区布局；洪水、停电、贸易限制和物流中断，都可能使需求旺盛却无法交货。</w:t>
      </w:r>
    </w:p>
    <w:p/>
    <w:p>
      <w:pPr>
        <w:spacing w:after="120"/>
      </w:pPr>
      <w:r>
        <w:t>第五是估值。即使公司继续增长，只要增长没有市场要求的快，或者市盈率回到较低的周期区间，股价仍可大幅下跌。企业成功与买入价格正确不能混为一谈。</w:t>
      </w:r>
    </w:p>
    <w:p/>
    <w:p>
      <w:pPr>
        <w:pStyle w:val="Heading2"/>
      </w:pPr>
      <w:r>
        <w:t>14. 当前市场争议</w:t>
      </w:r>
    </w:p>
    <w:p/>
    <w:p>
      <w:pPr>
        <w:spacing w:after="120"/>
      </w:pPr>
      <w:r>
        <w:t>争议一：这是结构性重估还是周期顶峰？牛方看到供应商集中、长期采购安排、数据增长与产品容量升级；熊方看到历史上存储紧缺曾反复诱发扩产和客户提前采购。分歧不在“数据会不会更多”，而在高毛利能保留多少。</w:t>
      </w:r>
    </w:p>
    <w:p/>
    <w:p>
      <w:pPr>
        <w:spacing w:after="120"/>
      </w:pPr>
      <w:r>
        <w:t>争议二：延长ePMR寿命是资本效率优势，还是HAMR进度落后？前者强调客户需要稳定量产，后者担心对手先获得学习曲线。判断应看成本、出货与故障表现，不能预先把所有延后都解释成聪明。</w:t>
      </w:r>
    </w:p>
    <w:p/>
    <w:p>
      <w:pPr>
        <w:spacing w:after="120"/>
      </w:pPr>
      <w:r>
        <w:t>争议三：SSD会不会吃掉HDD？快的数据倾向SSD，便宜的大仓储仍有HDD空间。真正争议在中间地带，随着闪存价格、功耗和系统设计变化，哪些工作负载会迁移。</w:t>
      </w:r>
    </w:p>
    <w:p/>
    <w:p>
      <w:pPr>
        <w:spacing w:after="120"/>
      </w:pPr>
      <w:r>
        <w:t>争议四：净现金与大额回购是否足以保护股价？它们降低部分财务风险，但不能消除需求风险；而回购可能被可转债、优先股转换和股权激励抵销。应盯完全稀释每股价值，而不是只看回购金额。</w:t>
      </w:r>
    </w:p>
    <w:p/>
    <w:p>
      <w:pPr>
        <w:pStyle w:val="Heading2"/>
      </w:pPr>
      <w:r>
        <w:t>15. 股性特征</w:t>
      </w:r>
    </w:p>
    <w:p/>
    <w:p>
      <w:pPr>
        <w:spacing w:after="120"/>
      </w:pPr>
      <w:r>
        <w:t>WDC是高波动、重预期的周期成长股。上涨阶段会同时交易利润率上升和估值扩张；回撤阶段也可能遭遇两者反向叠加。</w:t>
      </w:r>
    </w:p>
    <w:p/>
    <w:p>
      <w:pPr>
        <w:spacing w:after="120"/>
      </w:pPr>
      <w:r>
        <w:t>用Longbridge常规交易前复权日线复算，最近60个交易日收益率的年化波动率约78.3%。这只是过去窗口的统计值，不能解释为未来一年必涨跌78%，但足以说明不能把它当低波动成熟硬件股。</w:t>
      </w:r>
    </w:p>
    <w:p/>
    <w:p>
      <w:pPr>
        <w:spacing w:after="120"/>
      </w:pPr>
      <w:r>
        <w:t>2026年迄今前复权价格涨幅约168.8%，同时从6月收盘高点到9月低点又出现约44.8%的收盘回撤。高年度收益与巨大途中损失可以同时成立。</w:t>
      </w:r>
    </w:p>
    <w:p/>
    <w:p>
      <w:pPr>
        <w:spacing w:after="120"/>
      </w:pPr>
      <w:r>
        <w:t>10月1日成交量约为此前20个交易日均量的0.92倍，单日上涨尚未表现出明显放量突破。连续几天上涨并不能自动证明中期资金已经重新建立趋势。</w:t>
      </w:r>
    </w:p>
    <w:p/>
    <w:p>
      <w:pPr>
        <w:pStyle w:val="Heading2"/>
      </w:pPr>
      <w:r>
        <w:t>16. 与板块相关性</w:t>
      </w:r>
    </w:p>
    <w:p/>
    <w:p>
      <w:pPr>
        <w:spacing w:after="120"/>
      </w:pPr>
      <w:r>
        <w:t>使用相同交易日、前复权收盘价计算日简单收益率的皮尔逊相关系数。最近60个收益观察值覆盖2026年7月9日至10月1日，起始价格基准为7月8日；120个观察值的起始价格基准为4月10日。全部在拆分后，避免把除权误认为业务暴跌。</w:t>
      </w:r>
    </w:p>
    <w:p/>
    <w:p>
      <w:pPr>
        <w:pStyle w:val="ListBullet"/>
      </w:pPr>
      <w:r>
        <w:t>与Seagate：60日0.85，120日0.87</w:t>
      </w:r>
    </w:p>
    <w:p>
      <w:pPr>
        <w:pStyle w:val="ListBullet"/>
      </w:pPr>
      <w:r>
        <w:t>与SanDisk：60日0.84，120日0.72</w:t>
      </w:r>
    </w:p>
    <w:p>
      <w:pPr>
        <w:pStyle w:val="ListBullet"/>
      </w:pPr>
      <w:r>
        <w:t>与Micron：60日0.76，120日0.71</w:t>
      </w:r>
    </w:p>
    <w:p>
      <w:pPr>
        <w:pStyle w:val="ListBullet"/>
      </w:pPr>
      <w:r>
        <w:t>与纳斯达克100ETF QQQ：60日0.53，120日0.64</w:t>
      </w:r>
    </w:p>
    <w:p>
      <w:pPr>
        <w:pStyle w:val="ListBullet"/>
      </w:pPr>
      <w:r>
        <w:t>与标普500ETF SPY：60日0.28，120日0.46</w:t>
      </w:r>
    </w:p>
    <w:p/>
    <w:p>
      <w:pPr>
        <w:spacing w:after="120"/>
      </w:pPr>
      <w:r>
        <w:t>WDC与Seagate关系最稳定，符合两者共同面对近线HDD需求和技术周期的业务事实。最近与SanDisk高度同向，说明交易层面受到共同的AI存储情绪影响，但不能据此把NAND供给周期套在HDD上。</w:t>
      </w:r>
    </w:p>
    <w:p/>
    <w:p>
      <w:pPr>
        <w:spacing w:after="120"/>
      </w:pPr>
      <w:r>
        <w:t>60日对SPY的样本贝塔约1.94，120日约3.08，窗口变化很大。相关性不是因果关系，贝塔也不是公司不变的属性。持有MU、SNDK和WDC不等于已经充分分散了AI基础设施风险。</w:t>
      </w:r>
    </w:p>
    <w:p/>
    <w:p>
      <w:pPr>
        <w:pStyle w:val="Heading2"/>
      </w:pPr>
      <w:r>
        <w:t>17. 宏观敏感因素</w:t>
      </w:r>
    </w:p>
    <w:p/>
    <w:p>
      <w:pPr>
        <w:spacing w:after="120"/>
      </w:pPr>
      <w:r>
        <w:t>最直接的变量是大型云客户资本开支与数据保存需求，但GPU预算增长不会等比例转成硬盘收入。客户还会在算力、网络、机房、电力和存储之间重新分配预算。</w:t>
      </w:r>
    </w:p>
    <w:p/>
    <w:p>
      <w:pPr>
        <w:spacing w:after="120"/>
      </w:pPr>
      <w:r>
        <w:t>利率影响两头：一头是成长资产估值与客户融资，另一头是WDC自身资金成本。债务减少让后一头变轻，不能消除前一头。</w:t>
      </w:r>
    </w:p>
    <w:p/>
    <w:p>
      <w:pPr>
        <w:spacing w:after="120"/>
      </w:pPr>
      <w:r>
        <w:t>美元也不是单向影响。公司收入主要以美元计价，一部分制造成本用其他货币支付；美元走弱可能抬高折算成本。对冲只能部分缓和，不能把“海外销售多”简单等同于弱美元受益。</w:t>
      </w:r>
    </w:p>
    <w:p/>
    <w:p>
      <w:pPr>
        <w:spacing w:after="120"/>
      </w:pPr>
      <w:r>
        <w:t>还有电力、关税、亚洲制造环境和全球经济活动。长期数据增长可能掩盖季度采购收缩；宏观衰退中，客户会延后扩容、提高设备使用率，商业需求与物理数据量之间存在时间差。</w:t>
      </w:r>
    </w:p>
    <w:p/>
    <w:p>
      <w:pPr>
        <w:pStyle w:val="Heading2"/>
      </w:pPr>
      <w:r>
        <w:t>18. 历史典型走势</w:t>
      </w:r>
    </w:p>
    <w:p/>
    <w:p>
      <w:pPr>
        <w:spacing w:after="120"/>
      </w:pPr>
      <w:r>
        <w:t>第一段，拆分前后必须断开解释。未复权K线在2025年2月附近包含分配SanDisk股份的机械影响，不能把它当作同一资产价格自然崩跌。前复权能改善技术连续性，但也不等于老股东同时持有WDC与获配SNDK后的组合总回报。</w:t>
      </w:r>
    </w:p>
    <w:p/>
    <w:p>
      <w:pPr>
        <w:spacing w:after="120"/>
      </w:pPr>
      <w:r>
        <w:t>第二段，2025年初的风险释放。前复权收盘价从2月18日约54.16美元降至4月4日30.39美元，约回撤43.9%；这个窗口同时跨越拆分，业务主体发生变化，因此只用来说明持仓波动，不能把每一分跌幅都归因于HDD基本面。</w:t>
      </w:r>
    </w:p>
    <w:p/>
    <w:p>
      <w:pPr>
        <w:spacing w:after="120"/>
      </w:pPr>
      <w:r>
        <w:t>第三段，2025年后半段至2026年上半年重估。2025年底前复权收盘172.08美元，2026年6月18日收盘746.01美元。盈利改善伴随预期和估值明显扩张，并非收入同比多少，股价就只能涨多少。</w:t>
      </w:r>
    </w:p>
    <w:p/>
    <w:p>
      <w:pPr>
        <w:spacing w:after="120"/>
      </w:pPr>
      <w:r>
        <w:t>第四段，2026年的大回撤。6月18日盘中前复权高点799.63美元，9月15日最低407.12美元；以收盘对收盘算，746.01到411.96回撤44.8%。截至10月1日反弹到462.56，较9月15日收盘回升12.3%，但仍较6月收盘高点低38.0%。</w:t>
      </w:r>
    </w:p>
    <w:p/>
    <w:p>
      <w:pPr>
        <w:spacing w:after="120"/>
      </w:pPr>
      <w:r>
        <w:t>这些实际K线说明：WDC可以在经营利润继续变好的阶段先经历估值回撤。股价不是财报同比增长率的即时显示器。</w:t>
      </w:r>
    </w:p>
    <w:p/>
    <w:p>
      <w:pPr>
        <w:pStyle w:val="Heading2"/>
      </w:pPr>
      <w:r>
        <w:t>19. 当前技术结构</w:t>
      </w:r>
    </w:p>
    <w:p/>
    <w:p>
      <w:pPr>
        <w:spacing w:after="120"/>
      </w:pPr>
      <w:r>
        <w:t>全部价格基于截至10月1日的常规交易前复权日线，均线是简单移动平均：20日450.74美元、50日468.93美元、100日513.05美元、200日398.61美元；14日Wilder相对强弱指标约51.65。</w:t>
      </w:r>
    </w:p>
    <w:p/>
    <w:p>
      <w:pPr>
        <w:spacing w:after="120"/>
      </w:pPr>
      <w:r>
        <w:t>当前收盘站上20日线，但仍低于50日、100日线，高于200日线。这更接近“长期大涨之后，中期调整里的反弹”，尚不是各周期一致向上的强趋势。</w:t>
      </w:r>
    </w:p>
    <w:p/>
    <w:p>
      <w:pPr>
        <w:spacing w:after="120"/>
      </w:pPr>
      <w:r>
        <w:t>短线观察440—450美元：近期成交密集且靠近20日线，回落时能否守住有助于判断修复质量。再往下是407—424美元，来自9月低点与底部交易区；若失守，接近399美元的200日线也要重新接受检验。它们是观察带，不是保证有效的止损线。</w:t>
      </w:r>
    </w:p>
    <w:p/>
    <w:p>
      <w:pPr>
        <w:spacing w:after="120"/>
      </w:pPr>
      <w:r>
        <w:t>上方先看469—476美元的50日线与近期反弹压力，再看489—495美元的9月高点区域。只有持续站稳并有成交配合，中期修复才更可信；513美元附近100日线是更进一步的考验。</w:t>
      </w:r>
    </w:p>
    <w:p/>
    <w:p>
      <w:pPr>
        <w:spacing w:after="120"/>
      </w:pPr>
      <w:r>
        <w:t>如果突破后很快跌回区间、放量却收不住，不能只因盘中摸到压力位就宣布反转。技术走弱首先影响入场节奏；是否推翻投资逻辑，要回到订单、利润和技术兑现。</w:t>
      </w:r>
    </w:p>
    <w:p/>
    <w:p>
      <w:pPr>
        <w:pStyle w:val="Heading2"/>
      </w:pPr>
      <w:r>
        <w:t>20. Thesis验证清单</w:t>
      </w:r>
    </w:p>
    <w:p/>
    <w:p>
      <w:pPr>
        <w:spacing w:after="120"/>
      </w:pPr>
      <w:r>
        <w:t>每次财报按同一顺序检查：</w:t>
      </w:r>
    </w:p>
    <w:p/>
    <w:p>
      <w:pPr>
        <w:pStyle w:val="ListNumber"/>
      </w:pPr>
      <w:r>
        <w:t>容量：近线EB持续增长吗？增长来自终端提货，还是客户提前囤货？</w:t>
      </w:r>
    </w:p>
    <w:p>
      <w:pPr>
        <w:pStyle w:val="ListNumber"/>
      </w:pPr>
      <w:r>
        <w:t>价格：每TB售价、产品组合与毛利率能否互相解释？价格放缓后，成本是否仍下降？</w:t>
      </w:r>
    </w:p>
    <w:p>
      <w:pPr>
        <w:pStyle w:val="ListNumber"/>
      </w:pPr>
      <w:r>
        <w:t>新品：40TB有多少客户完成部署？HAMR处于样品、认证还是商业量产？</w:t>
      </w:r>
    </w:p>
    <w:p>
      <w:pPr>
        <w:pStyle w:val="ListNumber"/>
      </w:pPr>
      <w:r>
        <w:t>现金：经营现金流与利润是否匹配？存货和应收账款有没有连续快于收入增长？</w:t>
      </w:r>
    </w:p>
    <w:p>
      <w:pPr>
        <w:pStyle w:val="ListNumber"/>
      </w:pPr>
      <w:r>
        <w:t>合同：长约提高了可见度，还是限制了利润上行或增加交付压力？</w:t>
      </w:r>
    </w:p>
    <w:p>
      <w:pPr>
        <w:pStyle w:val="ListNumber"/>
      </w:pPr>
      <w:r>
        <w:t>资本：资本开支提高是否带来可验证的容量和成本收益？</w:t>
      </w:r>
    </w:p>
    <w:p>
      <w:pPr>
        <w:pStyle w:val="ListNumber"/>
      </w:pPr>
      <w:r>
        <w:t>每股：回购后完全稀释股数实际下降了吗？可转债清理用了多少现金和股票？</w:t>
      </w:r>
    </w:p>
    <w:p>
      <w:pPr>
        <w:pStyle w:val="ListNumber"/>
      </w:pPr>
      <w:r>
        <w:t>估值：盈利向上修订能否追上价格要求？即使达到自己的基准情景，还有足够回报空间吗？</w:t>
      </w:r>
    </w:p>
    <w:p/>
    <w:p>
      <w:pPr>
        <w:spacing w:after="120"/>
      </w:pPr>
      <w:r>
        <w:t>这些项目需要连续季度证据。最强的验证，是容量、单位经济性、现金和每股价值同时改善，而不是某一项特别亮眼。</w:t>
      </w:r>
    </w:p>
    <w:p/>
    <w:p>
      <w:pPr>
        <w:pStyle w:val="Heading2"/>
      </w:pPr>
      <w:r>
        <w:t>21. 哪些情况意味着逻辑证伪</w:t>
      </w:r>
    </w:p>
    <w:p/>
    <w:p>
      <w:pPr>
        <w:spacing w:after="120"/>
      </w:pPr>
      <w:r>
        <w:t>第一，云客户持续削减或延后近线容量需求，且并非一季物流或验收波动；长约也没能转成实际提货。</w:t>
      </w:r>
    </w:p>
    <w:p/>
    <w:p>
      <w:pPr>
        <w:spacing w:after="120"/>
      </w:pPr>
      <w:r>
        <w:t>第二，在行业需求仍强时，WDC连续丢失关键客户或份额，说明自身技术、品质或交付出了问题，而不仅是行业周期。</w:t>
      </w:r>
    </w:p>
    <w:p/>
    <w:p>
      <w:pPr>
        <w:spacing w:after="120"/>
      </w:pPr>
      <w:r>
        <w:t>第三，HAMR多次推迟且成熟路线无法维持成本竞争力，新品量产引发重大可靠性问题。此时技术缓冲变成了技术负担。</w:t>
      </w:r>
    </w:p>
    <w:p/>
    <w:p>
      <w:pPr>
        <w:spacing w:after="120"/>
      </w:pPr>
      <w:r>
        <w:t>第四，售价正常化后盈利和自由现金流大幅恶化，证明高利润主要来自短缺，而不是结构改善。毛利率略降本身不算证伪，但持续下降且无法用产品切换解释，就必须重做模型。</w:t>
      </w:r>
    </w:p>
    <w:p/>
    <w:p>
      <w:pPr>
        <w:spacing w:after="120"/>
      </w:pPr>
      <w:r>
        <w:t>第五，资本开支持续提高、库存和应收攀升，现金回收却长期落后；或者资本回报看似很多，完全稀释每股盈利和现金价值没有改善。</w:t>
      </w:r>
    </w:p>
    <w:p/>
    <w:p>
      <w:pPr>
        <w:spacing w:after="120"/>
      </w:pPr>
      <w:r>
        <w:t>股价跌破一条均线并不是基本面证伪。反过来，股价创新高也不能免除上述检验。市场价格与企业逻辑可能暂时分离。</w:t>
      </w:r>
    </w:p>
    <w:p/>
    <w:p>
      <w:pPr>
        <w:pStyle w:val="Heading2"/>
      </w:pPr>
      <w:r>
        <w:t>22. 最新动态</w:t>
      </w:r>
    </w:p>
    <w:p/>
    <w:p>
      <w:pPr>
        <w:spacing w:after="120"/>
      </w:pPr>
      <w:r>
        <w:t>2026年8月5日：公司公布截至7月3日的第四季度及全年业绩，给出2027财年第一季度收入40—42亿美元、调整后毛利率55%—56%、调整后EPS3.85—4.15美元的指引。最高40TB下一代ePMR产品已开始出货。</w:t>
      </w:r>
    </w:p>
    <w:p/>
    <w:p>
      <w:pPr>
        <w:spacing w:after="120"/>
      </w:pPr>
      <w:r>
        <w:t>2026年8月披露的年报：截至7月3日，保留的SanDisk股份已全部处置；全年公开回购计划下回购约1,470万股、耗资25.9亿美元，期末剩余额度32.6亿美元。另有以SNDK股权换取自身股票的交易，不能与现金回购混算。可转债转换也带来大量新股。</w:t>
      </w:r>
    </w:p>
    <w:p/>
    <w:p>
      <w:pPr>
        <w:spacing w:after="120"/>
      </w:pPr>
      <w:r>
        <w:t>2026年9月14日：宣布赎回剩余本金约1.095亿美元的2028年3%可转债，预定11月16日实施。公告日与实际完成日必须区分，不能提前写成已经全部退出债务。</w:t>
      </w:r>
    </w:p>
    <w:p/>
    <w:p>
      <w:pPr>
        <w:spacing w:after="120"/>
      </w:pPr>
      <w:r>
        <w:t>2026年10月1日：常规收盘462.56美元，上涨1.78%，成交低于此前20日均量。本篇尚未把下一次业绩披露日期写成已确认日期；研究时看到的第三方日历估计不等于公司正式公告。[当日行情交叉核对](https://longbridge.com/news/300725817)</w:t>
      </w:r>
    </w:p>
    <w:p/>
    <w:p>
      <w:pPr>
        <w:pStyle w:val="Heading3"/>
      </w:pPr>
      <w:r>
        <w:t>我目前对WDC的理解</w:t>
      </w:r>
    </w:p>
    <w:p/>
    <w:p>
      <w:pPr>
        <w:spacing w:after="120"/>
      </w:pPr>
      <w:r>
        <w:t>WDC已经证明，高容量HDD在AI时代有需求，也能产生很强的经营利润和现金。现在需要证明的是，这些好处在供应恢复、客户重新议价和技术换代之后，仍能留在股东手里。</w:t>
      </w:r>
    </w:p>
    <w:p/>
    <w:p>
      <w:pPr>
        <w:spacing w:after="120"/>
      </w:pPr>
      <w:r>
        <w:t>这家公司值得研究的不是“机械硬盘居然还没死”，而是一个成熟工业技术体系，能否在新的需求环境中获得更好的经济回报。</w:t>
      </w:r>
    </w:p>
    <w:p/>
    <w:p>
      <w:pPr>
        <w:spacing w:after="120"/>
      </w:pPr>
      <w:r>
        <w:t>我会把它看成有结构升级机会的高波动周期股，重点观察每单位容量利润、跨周期现金流和完全稀释每股价值。业务越来越好，并不能替代对买入价格的要求。</w:t>
      </w:r>
    </w:p>
    <w:p/>
    <w:p>
      <w:pPr>
        <w:spacing w:after="120"/>
      </w:pPr>
      <w:r>
        <w:t>方法说明：行情与比较序列来自Longbridge，采用日线、常规时段和前复权设置后自行复算；相关性使用同步日收益，年化波动率使用样本标准差乘252的平方根。技术指标是历史统计，不预测必然走势。财报事实以SEC与公司IR为准；情景及判断为研究分析，不构成针对个人资产与风险承受能力的投资建议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