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  <w:sz w:val="21"/>
        </w:rPr>
        <w:t>AEHR 投研版</w:t>
      </w:r>
    </w:p>
    <w:p/>
    <w:p>
      <w:r>
        <w:rPr>
          <w:rFonts w:ascii="Microsoft YaHei" w:hAnsi="Microsoft YaHei"/>
          <w:sz w:val="21"/>
        </w:rPr>
        <w:t>更新于 2026 年 10 月 2 日。财务最新完整期间为 FY2026，截至 2026-05-29；行情截至 2026-10-01 美股正常时段收盘。美元口径。</w:t>
      </w:r>
    </w:p>
    <w:p/>
    <w:p>
      <w:r>
        <w:rPr>
          <w:rFonts w:ascii="Microsoft YaHei" w:hAnsi="Microsoft YaHei"/>
          <w:sz w:val="21"/>
        </w:rPr>
        <w:t>先给六个核心结论：</w:t>
      </w:r>
    </w:p>
    <w:p>
      <w:pPr>
        <w:pStyle w:val="ListBullet"/>
      </w:pPr>
      <w:r>
        <w:rPr>
          <w:rFonts w:ascii="Microsoft YaHei" w:hAnsi="Microsoft YaHei"/>
          <w:sz w:val="21"/>
        </w:rPr>
        <w:t>公司正从高度依赖电动车碳化硅扩产，转向 AI 计算芯片与硅光器件的可靠性测试，量产订单已经证明转型不是纯概念</w:t>
      </w:r>
    </w:p>
    <w:p>
      <w:pPr>
        <w:pStyle w:val="ListBullet"/>
      </w:pPr>
      <w:r>
        <w:rPr>
          <w:rFonts w:ascii="Microsoft YaHei" w:hAnsi="Microsoft YaHei"/>
          <w:sz w:val="21"/>
        </w:rPr>
        <w:t>真正的商业价值是尽早找到坏芯片。昂贵的多芯片封装提高了提前筛选的经济价值，但每个客户仍要验证是否值得改变工艺</w:t>
      </w:r>
    </w:p>
    <w:p>
      <w:pPr>
        <w:pStyle w:val="ListBullet"/>
      </w:pPr>
      <w:r>
        <w:rPr>
          <w:rFonts w:ascii="Microsoft YaHei" w:hAnsi="Microsoft YaHei"/>
          <w:sz w:val="21"/>
        </w:rPr>
        <w:t>FOX 晶圆级与 Sonoma 封装级是两条具体产品路径；硅光、CPO、HBM 是不同应用或工艺机会，不能不加区分地全部计入增长</w:t>
      </w:r>
    </w:p>
    <w:p>
      <w:pPr>
        <w:pStyle w:val="ListBullet"/>
      </w:pPr>
      <w:r>
        <w:rPr>
          <w:rFonts w:ascii="Microsoft YaHei" w:hAnsi="Microsoft YaHei"/>
          <w:sz w:val="21"/>
        </w:rPr>
        <w:t>最新季度收入恢复，并不等于主营已经稳定盈利：税收收益帮助净利润转正，全年自由现金流仍为负</w:t>
      </w:r>
    </w:p>
    <w:p>
      <w:pPr>
        <w:pStyle w:val="ListBullet"/>
      </w:pPr>
      <w:r>
        <w:rPr>
          <w:rFonts w:ascii="Microsoft YaHei" w:hAnsi="Microsoft YaHei"/>
          <w:sz w:val="21"/>
        </w:rPr>
        <w:t>股权融资显著加厚现金缓冲，代价是摊薄。未来要看每股现金创造能力，不能只看收入或资产规模</w:t>
      </w:r>
    </w:p>
    <w:p>
      <w:pPr>
        <w:pStyle w:val="ListBullet"/>
      </w:pPr>
      <w:r>
        <w:rPr>
          <w:rFonts w:ascii="Microsoft YaHei" w:hAnsi="Microsoft YaHei"/>
          <w:sz w:val="21"/>
        </w:rPr>
        <w:t>约 33 亿美元市值已要求多年成长兑现。技术方向判断正确，也可能因为买入价格过高或兑现节奏太慢而没有好回报</w:t>
      </w:r>
    </w:p>
    <w:p/>
    <w:p>
      <w:r>
        <w:rPr>
          <w:rFonts w:ascii="Microsoft YaHei" w:hAnsi="Microsoft YaHei"/>
          <w:sz w:val="21"/>
        </w:rPr>
        <w:t>我目前把它放在“量产订单已验证、跨周期现金回报待验证”的阶段。最重要的研究问题是：这次新增产能是否会变成稳定的设备与耗材复购，而不是换一批大客户后再经历一次扩产周期。</w:t>
      </w:r>
    </w:p>
    <w:p/>
    <w:p>
      <w:r>
        <w:rPr>
          <w:rFonts w:ascii="Microsoft YaHei" w:hAnsi="Microsoft YaHei"/>
          <w:sz w:val="21"/>
        </w:rPr>
        <w:t>1. 一句话看懂公司</w:t>
      </w:r>
    </w:p>
    <w:p/>
    <w:p>
      <w:r>
        <w:rPr>
          <w:rFonts w:ascii="Microsoft YaHei" w:hAnsi="Microsoft YaHei"/>
          <w:sz w:val="21"/>
        </w:rPr>
        <w:t>Aehr Test Systems 制造半导体老化与可靠性测试设备，帮助客户提前找出潜在失效芯片。FOX 主要在晶圆或裸片阶段工作，Sonoma 面向高功率封装芯片。它向 AI、硅光、SiC 芯片供应商出售测试工具，不生产光模块、激光器或 AI 处理器。</w:t>
      </w:r>
    </w:p>
    <w:p/>
    <w:p>
      <w:r>
        <w:rPr>
          <w:rFonts w:ascii="Microsoft YaHei" w:hAnsi="Microsoft YaHei"/>
          <w:sz w:val="21"/>
        </w:rPr>
        <w:t>2. 商业模式</w:t>
      </w:r>
    </w:p>
    <w:p/>
    <w:p>
      <w:r>
        <w:rPr>
          <w:rFonts w:ascii="Microsoft YaHei" w:hAnsi="Microsoft YaHei"/>
          <w:sz w:val="21"/>
        </w:rPr>
        <w:t>客户先做技术评估与资格验证，再买生产系统扩充测试能力，随后按新器件设计、产能和损耗购买 WaferPak 接触器、烧机模块等，并购买服务。</w:t>
      </w:r>
    </w:p>
    <w:p/>
    <w:p>
      <w:r>
        <w:rPr>
          <w:rFonts w:ascii="Microsoft YaHei" w:hAnsi="Microsoft YaHei"/>
          <w:sz w:val="21"/>
        </w:rPr>
        <w:t>系统安装形成后续生意，但接触器不是每片晶圆都消耗一次。公司披露 WaferPak 对应的器件生命周期通常为 2–7 年，后续收入仍取决于客户新设计与产能需求。必须区分“接洽→验证→订单→交付与收入→回款”五个阶段。[产品与收入政策](https://www.sec.gov/Archives/edgar/data/1040470/000165495426006919/aehr_10k.htm)</w:t>
      </w:r>
    </w:p>
    <w:p/>
    <w:p>
      <w:r>
        <w:rPr>
          <w:rFonts w:ascii="Microsoft YaHei" w:hAnsi="Microsoft YaHei"/>
          <w:sz w:val="21"/>
        </w:rPr>
        <w:t>3. 收入结构</w:t>
      </w:r>
    </w:p>
    <w:p/>
    <w:p>
      <w:r>
        <w:rPr>
          <w:rFonts w:ascii="Microsoft YaHei" w:hAnsi="Microsoft YaHei"/>
          <w:sz w:val="21"/>
        </w:rPr>
        <w:t>FY2026 收入 5,000.1 万。按产品线：晶圆级约 63%，封装级约 37%。按销售形态：系统 2,866.9 万、接触器 1,488.7 万、服务 644.5 万，约占 57.3%、29.8%、12.9%。这是同一收入的两种拆分，不可相加。</w:t>
      </w:r>
    </w:p>
    <w:p/>
    <w:p>
      <w:r>
        <w:rPr>
          <w:rFonts w:ascii="Microsoft YaHei" w:hAnsi="Microsoft YaHei"/>
          <w:sz w:val="21"/>
        </w:rPr>
        <w:t>管理层称 AI 加速器、CPU、网络处理器相关市场约占全年 71%，光器件相关约 20%。这些是终端应用口径，不是审计分部；光器件包含收发器、光 I/O、硬盘，不能把 20% 全部写成 CPO。[10-K](https://www.sec.gov/Archives/edgar/data/1040470/000165495426006919/aehr_10k.htm) [7 月电话会](https://stockanalysis.com/stocks/aehr/transcripts/630366-q4-2026/)</w:t>
      </w:r>
    </w:p>
    <w:p/>
    <w:p>
      <w:r>
        <w:rPr>
          <w:rFonts w:ascii="Microsoft YaHei" w:hAnsi="Microsoft YaHei"/>
          <w:sz w:val="21"/>
        </w:rPr>
        <w:t>4. 行业地位</w:t>
      </w:r>
    </w:p>
    <w:p/>
    <w:p>
      <w:r>
        <w:rPr>
          <w:rFonts w:ascii="Microsoft YaHei" w:hAnsi="Microsoft YaHei"/>
          <w:sz w:val="21"/>
        </w:rPr>
        <w:t>它是晶圆级老化测试的细分供应商，地位来自特定工艺能力与生产验证，而非覆盖整个半导体测试市场的规模优势。公司自称在硅光 WLBI 领先，但本次未找到独立、同口径的市占率资料，因此不写“全球份额多少”或“唯一供应商”。[硅光新客户公告](https://www.aehr.com/2026/03/aehr-wins-major-new-silicon-photonics-customer-with-high-power-fox-xp-wafer-level-burn-in-system-for-hyperscale-data-center-optical-interconnect-market/)</w:t>
      </w:r>
    </w:p>
    <w:p/>
    <w:p>
      <w:r>
        <w:rPr>
          <w:rFonts w:ascii="Microsoft YaHei" w:hAnsi="Microsoft YaHei"/>
          <w:sz w:val="21"/>
        </w:rPr>
        <w:t>5. 核心竞争力</w:t>
      </w:r>
    </w:p>
    <w:p/>
    <w:p>
      <w:r>
        <w:rPr>
          <w:rFonts w:ascii="Microsoft YaHei" w:hAnsi="Microsoft YaHei"/>
          <w:sz w:val="21"/>
        </w:rPr>
        <w:t>核心在高并行接触、供电、温控、自动化及客户工艺经验。越昂贵的多芯片封装，越有动力在封装前筛掉会失效的裸片。客户更换已验证的测试方案需要重新确认质量、失效相关性及成本，形成切换成本。</w:t>
      </w:r>
    </w:p>
    <w:p/>
    <w:p>
      <w:r>
        <w:rPr>
          <w:rFonts w:ascii="Microsoft YaHei" w:hAnsi="Microsoft YaHei"/>
          <w:sz w:val="21"/>
        </w:rPr>
        <w:t>但护城河不能直接推导为稳定利润。客户即使不换供应商，也能通过延后扩产、缩短测试时间或增加抽检来减少采购。FY2026 接触器收入同比约减半就是必须正视的周期性证据。</w:t>
      </w:r>
    </w:p>
    <w:p/>
    <w:p>
      <w:r>
        <w:rPr>
          <w:rFonts w:ascii="Microsoft YaHei" w:hAnsi="Microsoft YaHei"/>
          <w:sz w:val="21"/>
        </w:rPr>
        <w:t>6. 主要竞争对手</w:t>
      </w:r>
    </w:p>
    <w:p/>
    <w:p>
      <w:r>
        <w:rPr>
          <w:rFonts w:ascii="Microsoft YaHei" w:hAnsi="Microsoft YaHei"/>
          <w:sz w:val="21"/>
        </w:rPr>
        <w:t>按应用观察，而不是把所有测试公司当作同一竞争池：</w:t>
      </w:r>
    </w:p>
    <w:p>
      <w:pPr>
        <w:pStyle w:val="ListBullet"/>
      </w:pPr>
      <w:r>
        <w:rPr>
          <w:rFonts w:ascii="Microsoft YaHei" w:hAnsi="Microsoft YaHei"/>
          <w:sz w:val="21"/>
        </w:rPr>
        <w:t>Micro Control：高功率封装级 burn-in，HPB-8 已获 AI 相关量产订单，与 Sonoma 更直接重叠</w:t>
      </w:r>
    </w:p>
    <w:p>
      <w:pPr>
        <w:pStyle w:val="ListBullet"/>
      </w:pPr>
      <w:r>
        <w:rPr>
          <w:rFonts w:ascii="Microsoft YaHei" w:hAnsi="Microsoft YaHei"/>
          <w:sz w:val="21"/>
        </w:rPr>
        <w:t>Chroma：推出 3830/3832 burn-in 平台，结合高功率温控和自动化能力</w:t>
      </w:r>
    </w:p>
    <w:p>
      <w:pPr>
        <w:pStyle w:val="ListBullet"/>
      </w:pPr>
      <w:r>
        <w:rPr>
          <w:rFonts w:ascii="Microsoft YaHei" w:hAnsi="Microsoft YaHei"/>
          <w:sz w:val="21"/>
        </w:rPr>
        <w:t>Advantest：在存储器 burn-in、晶圆测试等环节有成熟产品，尤其影响 AEHR 拓展存储器市场的空间</w:t>
      </w:r>
    </w:p>
    <w:p>
      <w:pPr>
        <w:pStyle w:val="ListBullet"/>
      </w:pPr>
      <w:r>
        <w:rPr>
          <w:rFonts w:ascii="Microsoft YaHei" w:hAnsi="Microsoft YaHei"/>
          <w:sz w:val="21"/>
        </w:rPr>
        <w:t>客户自建设备、传统封装后测试及其他晶圆探针方案：也是实际替代路径</w:t>
      </w:r>
    </w:p>
    <w:p/>
    <w:p>
      <w:r>
        <w:rPr>
          <w:rFonts w:ascii="Microsoft YaHei" w:hAnsi="Microsoft YaHei"/>
          <w:sz w:val="21"/>
        </w:rPr>
        <w:t>不同客户的温控、测试时间和工艺差异很大，不能仅凭单一功率参数认定全面领先。</w:t>
      </w:r>
    </w:p>
    <w:p/>
    <w:p>
      <w:r>
        <w:rPr>
          <w:rFonts w:ascii="Microsoft YaHei" w:hAnsi="Microsoft YaHei"/>
          <w:sz w:val="21"/>
        </w:rPr>
        <w:t>比较时应问四件事：一台设备在目标测试时间下能处理多少良品；对器件有没有过度筛选或损伤；设备、接触器、人工和厂房的总成本如何；长时间运行与客户现有测试结果是否一致。产品宣传中的最高功率或最大并行数，只是其中一项。[Micro Control](https://www.microcontrol.com/system-order-for-the-new-hpb-8/) [Chroma](https://www.chromaate.com/en/newsroom/news1176) [Advantest](https://www.advantest.com/en/products/semiconductor-test-system/memory/b6700/)</w:t>
      </w:r>
    </w:p>
    <w:p/>
    <w:p>
      <w:r>
        <w:rPr>
          <w:rFonts w:ascii="Microsoft YaHei" w:hAnsi="Microsoft YaHei"/>
          <w:sz w:val="21"/>
        </w:rPr>
        <w:t>7. 未来 12–24 个月增长逻辑</w:t>
      </w:r>
    </w:p>
    <w:p/>
    <w:p>
      <w:r>
        <w:rPr>
          <w:rFonts w:ascii="Microsoft YaHei" w:hAnsi="Microsoft YaHei"/>
          <w:sz w:val="21"/>
        </w:rPr>
        <w:t>第一条是把已有 AI 订单交出去：4 月 4,100 万 Sonoma 大单面向定制 AI ASIC 封装级测试；8 月 2,200 万 FOX 大单面向晶圆级测试，计划六个月内发货。</w:t>
      </w:r>
    </w:p>
    <w:p/>
    <w:p>
      <w:r>
        <w:rPr>
          <w:rFonts w:ascii="Microsoft YaHei" w:hAnsi="Microsoft YaHei"/>
          <w:sz w:val="21"/>
        </w:rPr>
        <w:t>第二条是客户拓展：硅光原客户追加产能、新网络设备客户购买工程及生产系统，都是实物订单证据。另一个大型 AI 芯片商的 benchmark 成功与试产意向，目前仍弱于采购订单。</w:t>
      </w:r>
    </w:p>
    <w:p/>
    <w:p>
      <w:r>
        <w:rPr>
          <w:rFonts w:ascii="Microsoft YaHei" w:hAnsi="Microsoft YaHei"/>
          <w:sz w:val="21"/>
        </w:rPr>
        <w:t>这里还有一个容易忽视的增长变量：测试强度。芯片数量增加能带来需求，每颗芯片测试时间变长、功率变大，也可能增加所需系统数量；反过来，工艺成熟后测试时间缩短，新增芯片产量就未必需要同比例新增设备。因此不能用客户芯片收入增速直接乘出 AEHR 收入增速。</w:t>
      </w:r>
    </w:p>
    <w:p/>
    <w:p>
      <w:r>
        <w:rPr>
          <w:rFonts w:ascii="Microsoft YaHei" w:hAnsi="Microsoft YaHei"/>
          <w:sz w:val="21"/>
        </w:rPr>
        <w:t>第三条是 SiC 的恢复：7 月超过 800 万订单同时包括量产扩充与汽车公司资格验证。新客户验证不能直接算稳定生产收入。HBM/NAND 尚需进一步证据，暂不作为基准增长支柱。[Sonoma 订单](https://www.aehr.com/2026/04/aehr-receives-record-41-million-production-order-from-lead-hyperscale-ai-customer-second-half-bookings-exceed-92-million/) [FOX 订单](https://www.aehr.com/2026/08/aehr-receives-22-million-follow-on-order-for-ai-processor-wafer-level-burn-in-systems/)</w:t>
      </w:r>
    </w:p>
    <w:p/>
    <w:p>
      <w:r>
        <w:rPr>
          <w:rFonts w:ascii="Microsoft YaHei" w:hAnsi="Microsoft YaHei"/>
          <w:sz w:val="21"/>
        </w:rPr>
        <w:t>8. 核心财务指标</w:t>
      </w:r>
    </w:p>
    <w:p/>
    <w:p>
      <w:r>
        <w:rPr>
          <w:rFonts w:ascii="Microsoft YaHei" w:hAnsi="Microsoft YaHei"/>
          <w:sz w:val="21"/>
        </w:rPr>
        <w:t>本节金额单位统一为万美元；财年末为 2026-05-29，业绩公告 7/14 发布，年报 7/27 提交。</w:t>
      </w:r>
    </w:p>
    <w:p/>
    <w:p>
      <w:r>
        <w:rPr>
          <w:rFonts w:ascii="Microsoft YaHei" w:hAnsi="Microsoft YaHei"/>
          <w:sz w:val="21"/>
        </w:rPr>
        <w:t>2026 财年：营业收入 5,000.1，同比下降 15.2%；毛利率 35.3%；按美国通用会计准则营业亏损 1,414.9；净亏损 712.6；经营现金净流出 331.0。</w:t>
      </w:r>
    </w:p>
    <w:p/>
    <w:p>
      <w:r>
        <w:rPr>
          <w:rFonts w:ascii="Microsoft YaHei" w:hAnsi="Microsoft YaHei"/>
          <w:sz w:val="21"/>
        </w:rPr>
        <w:t>作历史比较：2024、2025、2026 财年营业收入分别为 6,621.8、5,896.8、5,000.1；毛利率分别约 49.1%、40.6%、35.3%。因此最新季度改善是在两年下行后出现，尚不能用全年数字证明已恢复过去的盈利能力。</w:t>
      </w:r>
    </w:p>
    <w:p/>
    <w:p>
      <w:r>
        <w:rPr>
          <w:rFonts w:ascii="Microsoft YaHei" w:hAnsi="Microsoft YaHei"/>
          <w:sz w:val="21"/>
        </w:rPr>
        <w:t>第四财季：营业收入 1,883.5，同比增长 33.7%；毛利率约 42.6%；营业亏损 120.6，税前亏损 45.5。由于 184.6 的所得税收益，最终净利润为 139.1。因此“净利转正”和“主营已稳定赚钱”仍是两回事。</w:t>
      </w:r>
    </w:p>
    <w:p/>
    <w:p>
      <w:r>
        <w:rPr>
          <w:rFonts w:ascii="Microsoft YaHei" w:hAnsi="Microsoft YaHei"/>
          <w:sz w:val="21"/>
        </w:rPr>
        <w:t>营运资本：应收账款 1,747.3、存货 4,135.4、递延收入约 522.6。应收增长有 Q4 销售增长背景，不能单独认定恶化；高库存则需要之后交付与回款来证明合理性。</w:t>
      </w:r>
    </w:p>
    <w:p/>
    <w:p>
      <w:r>
        <w:rPr>
          <w:rFonts w:ascii="Microsoft YaHei" w:hAnsi="Microsoft YaHei"/>
          <w:sz w:val="21"/>
        </w:rPr>
        <w:t>资产负债：现金及等价物 11,635.8，另约 15.0 受限现金；无借款项目，但有经营租赁负债。现金增长主要来自约 9,739.5 股权融资净流入，期末股数同比增加约 8.7%。</w:t>
      </w:r>
    </w:p>
    <w:p/>
    <w:p>
      <w:r>
        <w:rPr>
          <w:rFonts w:ascii="Microsoft YaHei" w:hAnsi="Microsoft YaHei"/>
          <w:sz w:val="21"/>
        </w:rPr>
        <w:t>利润质量还要看两项：全年股份薪酬调整约 676 万美元，非现金但会带来股东经济成本；全年所得税收益约 461 万美元，不能按经常性销售利润来估值。客户预付款则可能提前改善现金流，必须与真正交付、而非只与订单数字对照。[原始财务报表](https://www.sec.gov/Archives/edgar/data/1040470/000165495426006655/aehr_ex991.htm)</w:t>
      </w:r>
    </w:p>
    <w:p/>
    <w:p>
      <w:r>
        <w:rPr>
          <w:rFonts w:ascii="Microsoft YaHei" w:hAnsi="Microsoft YaHei"/>
          <w:sz w:val="21"/>
        </w:rPr>
        <w:t>9. 资本开支 自由现金流 投入资本回报率</w:t>
      </w:r>
    </w:p>
    <w:p/>
    <w:p>
      <w:r>
        <w:rPr>
          <w:rFonts w:ascii="Microsoft YaHei" w:hAnsi="Microsoft YaHei"/>
          <w:sz w:val="21"/>
        </w:rPr>
        <w:t>2026 财年现金资本开支 206.6 万美元，约占收入 4.1%。采用“经营现金流（CFO）−现金购买固定资产”定义，自由现金流为 −331−206.6＝−537.6 万美元。</w:t>
      </w:r>
    </w:p>
    <w:p/>
    <w:p>
      <w:r>
        <w:rPr>
          <w:rFonts w:ascii="Microsoft YaHei" w:hAnsi="Microsoft YaHei"/>
          <w:sz w:val="21"/>
        </w:rPr>
        <w:t>投入资本回报率（ROIC）采用可复算的保守口径：税后营业利润（NOPAT）＝美国通用会计准则营业利润（EBIT）；亏损年不假设税盾、标准化税率取 0%。投入资本＝股东权益＋有息借款−现金及等价物，排除租赁负债、保留商誉等账面资产，使用期初期末平均值。2025／2026 财年投入资本分别约 9,834.2 万美元和 10,315.3 万美元，平均 10,074.75 万美元；−1,414.9÷10,074.75＝约 −14.0%。</w:t>
      </w:r>
    </w:p>
    <w:p/>
    <w:p>
      <w:r>
        <w:rPr>
          <w:rFonts w:ascii="Microsoft YaHei" w:hAnsi="Microsoft YaHei"/>
          <w:sz w:val="21"/>
        </w:rPr>
        <w:t>这是本报告定义的经营回报代理值，并非公司公布值。扣除全部现金会低估必要经营现金；增发、递延税资产和收购也影响分母，不宜与其他公司不同口径 ROIC 直接排名。当前明确的信息是资本回报仍为负。</w:t>
      </w:r>
    </w:p>
    <w:p/>
    <w:p>
      <w:r>
        <w:rPr>
          <w:rFonts w:ascii="Microsoft YaHei" w:hAnsi="Microsoft YaHei"/>
          <w:sz w:val="21"/>
        </w:rPr>
        <w:t>对这样的公司，短期 ROIC 上升也未必就是护城河增强：库存交付和临时预收款都能改变投入资本。更有说服力的证据是收入放大之后，几个季度的营业利润与自由现金流都改善，同时没有依赖不断增加的客户预付款或增发。低资本开支只是设备组装模式的一个特点，不是天然高资本回报的保证。[10-K 三表](https://www.sec.gov/Archives/edgar/data/1040470/000165495426006919/aehr_10k.htm)</w:t>
      </w:r>
    </w:p>
    <w:p/>
    <w:p>
      <w:r>
        <w:rPr>
          <w:rFonts w:ascii="Microsoft YaHei" w:hAnsi="Microsoft YaHei"/>
          <w:sz w:val="21"/>
        </w:rPr>
        <w:t>10. 估值框架</w:t>
      </w:r>
    </w:p>
    <w:p/>
    <w:p>
      <w:r>
        <w:rPr>
          <w:rFonts w:ascii="Microsoft YaHei" w:hAnsi="Microsoft YaHei"/>
          <w:sz w:val="21"/>
        </w:rPr>
        <w:t>长桥 10/1 正常收盘价 101.60 美元，报价时间 20:00:01 UTC，市值约 33.142 亿。FY2026 P/S 约 66.3 倍、P/B 15.1 倍；GAAP 亏损，负 P/E 不代表便宜。</w:t>
      </w:r>
    </w:p>
    <w:p/>
    <w:p>
      <w:r>
        <w:rPr>
          <w:rFonts w:ascii="Microsoft YaHei" w:hAnsi="Microsoft YaHei"/>
          <w:sz w:val="21"/>
        </w:rPr>
        <w:t>公司 FY2027 收入指引 1.30–1.50 亿，对应 P/S 22.1–25.5 倍。按 5 月末现金、无借款且不计租赁粗算 EV 31.98 亿，对应 EV/S 21.3–24.6 倍；现金与行情不同日，属静态估算。</w:t>
      </w:r>
    </w:p>
    <w:p/>
    <w:p>
      <w:r>
        <w:rPr>
          <w:rFonts w:ascii="Microsoft YaHei" w:hAnsi="Microsoft YaHei"/>
          <w:sz w:val="21"/>
        </w:rPr>
        <w:t>更有用的是反推：收入若为 1.40 亿、长期净利率若为 20%，净利 2,800 万，当前市值仍约是其 118 倍。这里的 20% 是敏感性假设，并非已实现利润率。</w:t>
      </w:r>
    </w:p>
    <w:p/>
    <w:p>
      <w:r>
        <w:rPr>
          <w:rFonts w:ascii="Microsoft YaHei" w:hAnsi="Microsoft YaHei"/>
          <w:sz w:val="21"/>
        </w:rPr>
        <w:t>公告把 FY2027 的 18%–22% 写作非 GAAP 净利润占收入比例，电话会又使用税前口径，因此不直接换算税后 EPS。等真实 GAAP 营业利润、税率和股数稳定后，再以正常化利润、FCF 及情景 DCF交叉验证。[长桥行情入口](https://longbridge.com/en/quote/AEHR.US) [公司指引](https://www.aehr.com/2026/07/aehr-test-systems-reports-fiscal-2026-fourth-quarter-and-full-year-financial-results-with-record-quarterly-bookings-and-100-million-effective-backlog/)</w:t>
      </w:r>
    </w:p>
    <w:p/>
    <w:p>
      <w:r>
        <w:rPr>
          <w:rFonts w:ascii="Microsoft YaHei" w:hAnsi="Microsoft YaHei"/>
          <w:sz w:val="21"/>
        </w:rPr>
        <w:t>11. 牛 基准 熊三情景</w:t>
      </w:r>
    </w:p>
    <w:p/>
    <w:p>
      <w:r>
        <w:rPr>
          <w:rFonts w:ascii="Microsoft YaHei" w:hAnsi="Microsoft YaHei"/>
          <w:sz w:val="21"/>
        </w:rPr>
        <w:t>牛：已有大单顺利交付，新增 AI 客户从试产进入量产，硅光继续复购，FY2027 收入超过 1.50 亿上沿；收入扩张同时改善 GAAP 营业利润与 CFO。成立需要额外量产订单及交付证明，不能只凭 benchmark。</w:t>
      </w:r>
    </w:p>
    <w:p/>
    <w:p>
      <w:r>
        <w:rPr>
          <w:rFonts w:ascii="Microsoft YaHei" w:hAnsi="Microsoft YaHei"/>
          <w:sz w:val="21"/>
        </w:rPr>
        <w:t>基准：收入落在公司 1.30–1.50 亿指引内，主要由已有生产项目支撑；新领域贡献谨慎，现金转换逐季改善。即使如此，22–25 倍销售额仍然要求之后继续成长。</w:t>
      </w:r>
    </w:p>
    <w:p/>
    <w:p>
      <w:r>
        <w:rPr>
          <w:rFonts w:ascii="Microsoft YaHei" w:hAnsi="Microsoft YaHei"/>
          <w:sz w:val="21"/>
        </w:rPr>
        <w:t>熊：客户延迟资本开支或验收，FY2027 收入低于 1.30 亿，库存与应收占款，经营现金流持续为负；同时市场下调估值倍数。</w:t>
      </w:r>
    </w:p>
    <w:p/>
    <w:p>
      <w:r>
        <w:rPr>
          <w:rFonts w:ascii="Microsoft YaHei" w:hAnsi="Microsoft YaHei"/>
          <w:sz w:val="21"/>
        </w:rPr>
        <w:t>三者是经营验证框架，不赋未经模型支持的概率，也不凭主题热度编目标价。进入任何一种情景，都要同时看收入、盈利、现金与股数。</w:t>
      </w:r>
    </w:p>
    <w:p/>
    <w:p>
      <w:r>
        <w:rPr>
          <w:rFonts w:ascii="Microsoft YaHei" w:hAnsi="Microsoft YaHei"/>
          <w:sz w:val="21"/>
        </w:rPr>
        <w:t>12. 核心催化剂</w:t>
      </w:r>
    </w:p>
    <w:p/>
    <w:p>
      <w:r>
        <w:rPr>
          <w:rFonts w:ascii="Microsoft YaHei" w:hAnsi="Microsoft YaHei"/>
          <w:sz w:val="21"/>
        </w:rPr>
        <w:t>真正有含金量的是新增量产客户、重大订单按期交付、首次持续 GAAP 营业盈利、现金转换改善，以及硅光批量采购延续。财报电话会对指引、客户验证阶段、backlog 交付排期的变化最关键。投资者会议可以更新信息，但本身不等于新增业务。</w:t>
      </w:r>
    </w:p>
    <w:p/>
    <w:p>
      <w:r>
        <w:rPr>
          <w:rFonts w:ascii="Microsoft YaHei" w:hAnsi="Microsoft YaHei"/>
          <w:sz w:val="21"/>
        </w:rPr>
        <w:t>13. 最大风险</w:t>
      </w:r>
    </w:p>
    <w:p/>
    <w:p>
      <w:r>
        <w:rPr>
          <w:rFonts w:ascii="Microsoft YaHei" w:hAnsi="Microsoft YaHei"/>
          <w:sz w:val="21"/>
        </w:rPr>
        <w:t>最大的经营风险是少数客户资本开支变化。FY2026 前五大占收入约 70%，最大客户 26.3%；相比过去改善，仍然集中。订单可延后或取消、非标准产品验收可能拖延，供应链、关税与保修成本亦影响利润。</w:t>
      </w:r>
    </w:p>
    <w:p/>
    <w:p>
      <w:r>
        <w:rPr>
          <w:rFonts w:ascii="Microsoft YaHei" w:hAnsi="Microsoft YaHei"/>
          <w:sz w:val="21"/>
        </w:rPr>
        <w:t>最大的投资风险是高估值：哪怕经营方向正确，兑现慢一个季度或估值倍数下降，也可能带来大幅回撤。</w:t>
      </w:r>
    </w:p>
    <w:p/>
    <w:p>
      <w:r>
        <w:rPr>
          <w:rFonts w:ascii="Microsoft YaHei" w:hAnsi="Microsoft YaHei"/>
          <w:sz w:val="21"/>
        </w:rPr>
        <w:t>14. 当前市场争议</w:t>
      </w:r>
    </w:p>
    <w:p/>
    <w:p>
      <w:r>
        <w:rPr>
          <w:rFonts w:ascii="Microsoft YaHei" w:hAnsi="Microsoft YaHei"/>
          <w:sz w:val="21"/>
        </w:rPr>
        <w:t>多头认为 AI 封装越来越昂贵，提前剔除坏裸片的经济价值越来越高；两种测试平台加上硅光客户扩张，能让 AEHR 跨出单一 SiC 周期。</w:t>
      </w:r>
    </w:p>
    <w:p/>
    <w:p>
      <w:r>
        <w:rPr>
          <w:rFonts w:ascii="Microsoft YaHei" w:hAnsi="Microsoft YaHei"/>
          <w:sz w:val="21"/>
        </w:rPr>
        <w:t>空头认为公司只是从依赖一个扩产主题转向另一个，新增产能订单未必年年重复；全年收入下降、GAAP 亏损与股权融资说明盈利质量仍需证明。</w:t>
      </w:r>
    </w:p>
    <w:p/>
    <w:p>
      <w:r>
        <w:rPr>
          <w:rFonts w:ascii="Microsoft YaHei" w:hAnsi="Microsoft YaHei"/>
          <w:sz w:val="21"/>
        </w:rPr>
        <w:t>双方真正分歧是“2027 的跃升能否变成多年复购与现金回报”，不是 AI 是否重要。</w:t>
      </w:r>
    </w:p>
    <w:p/>
    <w:p>
      <w:r>
        <w:rPr>
          <w:rFonts w:ascii="Microsoft YaHei" w:hAnsi="Microsoft YaHei"/>
          <w:sz w:val="21"/>
        </w:rPr>
        <w:t>15. 股性特征</w:t>
      </w:r>
    </w:p>
    <w:p/>
    <w:p>
      <w:r>
        <w:rPr>
          <w:rFonts w:ascii="Microsoft YaHei" w:hAnsi="Microsoft YaHei"/>
          <w:sz w:val="21"/>
        </w:rPr>
        <w:t>它是典型高波动、订单和指引驱动股票。按长桥复权日线计算，近 60 个交易日日收益年化实现波动率约 139%；截至 10/1，年初以来涨幅约 403%。2026-08-17 收盘 145.61，到 9/1 收盘 76.59，仅十余个交易日回撤约 47.4%。</w:t>
      </w:r>
    </w:p>
    <w:p/>
    <w:p>
      <w:r>
        <w:rPr>
          <w:rFonts w:ascii="Microsoft YaHei" w:hAnsi="Microsoft YaHei"/>
          <w:sz w:val="21"/>
        </w:rPr>
        <w:t>股价既能因生产订单跳涨，也会因预期变化迅速收缩。长期看好并不能消除持有过程的流动性与回撤压力。这里是历史股性分析，不默认建议期权策略。若投资者持有理由是未来两三年的制造工艺升级，却承受不了一个月内接近一半的账面回撤，就需要先处理风险承受与研究期限的不匹配。正确的公司研究不能替代这一点。</w:t>
      </w:r>
    </w:p>
    <w:p/>
    <w:p>
      <w:r>
        <w:rPr>
          <w:rFonts w:ascii="Microsoft YaHei" w:hAnsi="Microsoft YaHei"/>
          <w:sz w:val="21"/>
        </w:rPr>
        <w:t>16. 与板块相关性</w:t>
      </w:r>
    </w:p>
    <w:p/>
    <w:p>
      <w:r>
        <w:rPr>
          <w:rFonts w:ascii="Microsoft YaHei" w:hAnsi="Microsoft YaHei"/>
          <w:sz w:val="21"/>
        </w:rPr>
        <w:t>以 2026-07-09 至 10-01 共 60 个交易日的复权日收益计算，AEHR 与 SOXX 相关系数约 0.72，与 QQQ 约 0.64；相对 SOXX 的样本 beta 约 2.19。即有明显半导体风险偏好暴露，同时叠加很大的公司事件波动。</w:t>
      </w:r>
    </w:p>
    <w:p/>
    <w:p>
      <w:r>
        <w:rPr>
          <w:rFonts w:ascii="Microsoft YaHei" w:hAnsi="Microsoft YaHei"/>
          <w:sz w:val="21"/>
        </w:rPr>
        <w:t>这是同日收益的样本统计，不是因果关系或未来承诺。它也不是光模块公司的替代持仓；光通信、半导体设备、定制 AI ASIC、SiC 扩产可能在不同时期主导定价。</w:t>
      </w:r>
    </w:p>
    <w:p/>
    <w:p>
      <w:r>
        <w:rPr>
          <w:rFonts w:ascii="Microsoft YaHei" w:hAnsi="Microsoft YaHei"/>
          <w:sz w:val="21"/>
        </w:rPr>
        <w:t>17. 宏观敏感因素</w:t>
      </w:r>
    </w:p>
    <w:p/>
    <w:p>
      <w:r>
        <w:rPr>
          <w:rFonts w:ascii="Microsoft YaHei" w:hAnsi="Microsoft YaHei"/>
          <w:sz w:val="21"/>
        </w:rPr>
        <w:t>利率影响高远期预期股票的折现率，也影响客户资本预算；云厂商 AI CapEx 决定相关测试产能扩张；汽车需求、SiC 库存与工厂利用率影响功率器件订单；贸易限制、关税、美元变化以及台湾制造供应链扰动影响成本和交付。</w:t>
      </w:r>
    </w:p>
    <w:p/>
    <w:p>
      <w:r>
        <w:rPr>
          <w:rFonts w:ascii="Microsoft YaHei" w:hAnsi="Microsoft YaHei"/>
          <w:sz w:val="21"/>
        </w:rPr>
        <w:t>这些传导有时滞。不要把“降息”“AI 投资增加”或“电动车销量增长”直接等号连接为 AEHR 当季收入。[风险因素](https://www.sec.gov/Archives/edgar/data/1040470/000165495426006919/aehr_10k.htm)</w:t>
      </w:r>
    </w:p>
    <w:p/>
    <w:p>
      <w:r>
        <w:rPr>
          <w:rFonts w:ascii="Microsoft YaHei" w:hAnsi="Microsoft YaHei"/>
          <w:sz w:val="21"/>
        </w:rPr>
        <w:t>18. 历史典型走势</w:t>
      </w:r>
    </w:p>
    <w:p/>
    <w:p>
      <w:r>
        <w:rPr>
          <w:rFonts w:ascii="Microsoft YaHei" w:hAnsi="Microsoft YaHei"/>
          <w:sz w:val="21"/>
        </w:rPr>
        <w:t>长桥复权月线显示：2021 年从年初约 2–3 美元交易区间进入 SiC 重估，11 月月内高点 27.09；2022 年 7 月又触及 6.71。2023 年 8 月月内高点 54.10，2024 年 6 月月内低点 9.83，跨期高低点落差约 81.8%。这些是月内极值，不是精确持有收益。</w:t>
      </w:r>
    </w:p>
    <w:p/>
    <w:p>
      <w:r>
        <w:rPr>
          <w:rFonts w:ascii="Microsoft YaHei" w:hAnsi="Microsoft YaHei"/>
          <w:sz w:val="21"/>
        </w:rPr>
        <w:t>业务上的对应教训：2024 年 1 月全年收入指引由至少 1 亿降至 7,500–8,500 万，3 月再调为至少 6,500 万，理由包括电动车相关设备订单推迟。不能把所有跌幅机械归给单个公告，但这段历史证明长期技术需求与短期设备采购可以背离。</w:t>
      </w:r>
    </w:p>
    <w:p/>
    <w:p>
      <w:r>
        <w:rPr>
          <w:rFonts w:ascii="Microsoft YaHei" w:hAnsi="Microsoft YaHei"/>
          <w:sz w:val="21"/>
        </w:rPr>
        <w:t>2026 年重新由 AI/硅光订单推动定价：4/16 的 4,100 万订单公告当天涨约 10.4%，8/4 硅光订单当天涨约 19.8%；随后的巨幅回撤提醒我们“利好兑现”并不终结波动。[2024 年 1 月公告](https://www.aehr.com/2024/01/aehr-reports-strong-revenue-and-earnings-growth-for-the-second-quarter-and-first-six-months-of-fiscal-2024/) [3 月下调](https://www.aehr.com/2024/03/aehr-announces-preliminary-financial-results-for-its-fiscal-2024-third-quarter-provides-updated-full-year-revenue-guidance/)</w:t>
      </w:r>
    </w:p>
    <w:p/>
    <w:p>
      <w:r>
        <w:rPr>
          <w:rFonts w:ascii="Microsoft YaHei" w:hAnsi="Microsoft YaHei"/>
          <w:sz w:val="21"/>
        </w:rPr>
        <w:t>19. 当前技术结构</w:t>
      </w:r>
    </w:p>
    <w:p/>
    <w:p>
      <w:r>
        <w:rPr>
          <w:rFonts w:ascii="Microsoft YaHei" w:hAnsi="Microsoft YaHei"/>
          <w:sz w:val="21"/>
        </w:rPr>
        <w:t>计算基础：长桥常规交易时段、前复权日线，截止 2026-10-01，无盘后价格混入。</w:t>
      </w:r>
    </w:p>
    <w:p/>
    <w:p>
      <w:r>
        <w:rPr>
          <w:rFonts w:ascii="Microsoft YaHei" w:hAnsi="Microsoft YaHei"/>
          <w:sz w:val="21"/>
        </w:rPr>
        <w:t>收盘 101.60，高于 SMA20 的 93.39、SMA50 的 95.81 和 SMA200 的 69.20；但 SMA20 尚低于 SMA50，形态更接近大幅回撤后的修复。RSI14 约 55.4，未到常用超买阈值；MACD 12/26/9 柱值约 +1.32。10/1 成交量约 163 万股，仅此前 20 个交易日（不含当日）均量的 0.58 倍，暂缺强放量突破证据。</w:t>
      </w:r>
    </w:p>
    <w:p/>
    <w:p>
      <w:r>
        <w:rPr>
          <w:rFonts w:ascii="Microsoft YaHei" w:hAnsi="Microsoft YaHei"/>
          <w:sz w:val="21"/>
        </w:rPr>
        <w:t>可观察位置：93–96 为均线与近期交易密集区；105.6–108.4 为近期高点区域；更远是 134–147 的前期波动区。均线并不构成保证支撑。若放量站稳近期高点，修复可信度增加；若重新跌回 93–96 下方，则要重审反弹结构。技术面服务于时点观察，不替代经营 thesis。</w:t>
      </w:r>
    </w:p>
    <w:p/>
    <w:p>
      <w:r>
        <w:rPr>
          <w:rFonts w:ascii="Microsoft YaHei" w:hAnsi="Microsoft YaHei"/>
          <w:sz w:val="21"/>
        </w:rPr>
        <w:t>14 日平均真实波幅约 8.54 美元，约为股价的 8.4%。这意味着日常波动本来就很宽，过窄的价格阈值容易把普通噪声误判成基本面变化。上述区域是历史价格参考，不是保证执行的买卖点，也不预设每个缺口都必须回补。</w:t>
      </w:r>
    </w:p>
    <w:p/>
    <w:p>
      <w:r>
        <w:rPr>
          <w:rFonts w:ascii="Microsoft YaHei" w:hAnsi="Microsoft YaHei"/>
          <w:sz w:val="21"/>
        </w:rPr>
        <w:t>20. Thesis 验证清单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每季对账：新增订单、交付、取消/延期、期末 backlog，避免将期后订单重复相加</w:t>
      </w:r>
    </w:p>
    <w:p>
      <w:pPr>
        <w:pStyle w:val="ListBullet"/>
      </w:pPr>
      <w:r>
        <w:rPr>
          <w:rFonts w:ascii="Microsoft YaHei" w:hAnsi="Microsoft YaHei"/>
          <w:sz w:val="21"/>
        </w:rPr>
        <w:t>新 AI 客户是否由 benchmark 进入付费试产、正式量产、重复采购</w:t>
      </w:r>
    </w:p>
    <w:p>
      <w:pPr>
        <w:pStyle w:val="ListBullet"/>
      </w:pPr>
      <w:r>
        <w:rPr>
          <w:rFonts w:ascii="Microsoft YaHei" w:hAnsi="Microsoft YaHei"/>
          <w:sz w:val="21"/>
        </w:rPr>
        <w:t>FOX 与 Sonoma 的收入、毛利和安装基础如何变化</w:t>
      </w:r>
    </w:p>
    <w:p>
      <w:pPr>
        <w:pStyle w:val="ListBullet"/>
      </w:pPr>
      <w:r>
        <w:rPr>
          <w:rFonts w:ascii="Microsoft YaHei" w:hAnsi="Microsoft YaHei"/>
          <w:sz w:val="21"/>
        </w:rPr>
        <w:t>硅光交付是否按计划完成，接触器复购有没有跟上</w:t>
      </w:r>
    </w:p>
    <w:p>
      <w:pPr>
        <w:pStyle w:val="ListBullet"/>
      </w:pPr>
      <w:r>
        <w:rPr>
          <w:rFonts w:ascii="Microsoft YaHei" w:hAnsi="Microsoft YaHei"/>
          <w:sz w:val="21"/>
        </w:rPr>
        <w:t>GAAP 营业利润、CFO、统一口径 FCF 是否同步改善</w:t>
      </w:r>
    </w:p>
    <w:p>
      <w:pPr>
        <w:pStyle w:val="ListBullet"/>
      </w:pPr>
      <w:r>
        <w:rPr>
          <w:rFonts w:ascii="Microsoft YaHei" w:hAnsi="Microsoft YaHei"/>
          <w:sz w:val="21"/>
        </w:rPr>
        <w:t>应收、库存、客户预付款是否与交付进度相符</w:t>
      </w:r>
    </w:p>
    <w:p>
      <w:pPr>
        <w:pStyle w:val="ListBullet"/>
      </w:pPr>
      <w:r>
        <w:rPr>
          <w:rFonts w:ascii="Microsoft YaHei" w:hAnsi="Microsoft YaHei"/>
          <w:sz w:val="21"/>
        </w:rPr>
        <w:t>最大客户及前五大占比是否进一步分散</w:t>
      </w:r>
    </w:p>
    <w:p>
      <w:pPr>
        <w:pStyle w:val="ListBullet"/>
      </w:pPr>
      <w:r>
        <w:rPr>
          <w:rFonts w:ascii="Microsoft YaHei" w:hAnsi="Microsoft YaHei"/>
          <w:sz w:val="21"/>
        </w:rPr>
        <w:t>股数增长有没有侵蚀每股价值</w:t>
      </w:r>
    </w:p>
    <w:p/>
    <w:p>
      <w:r>
        <w:rPr>
          <w:rFonts w:ascii="Microsoft YaHei" w:hAnsi="Microsoft YaHei"/>
          <w:sz w:val="21"/>
        </w:rPr>
        <w:t>21. 哪些情况意味着逻辑证伪</w:t>
      </w:r>
    </w:p>
    <w:p/>
    <w:p>
      <w:r>
        <w:rPr>
          <w:rFonts w:ascii="Microsoft YaHei" w:hAnsi="Microsoft YaHei"/>
          <w:sz w:val="21"/>
        </w:rPr>
        <w:t>单一季度发货前后移动不自动证伪；但如果连续报告期出现订单延期、指引下修和占款上升，且不能给出可核验的交付恢复证据，必须降低信心。</w:t>
      </w:r>
    </w:p>
    <w:p/>
    <w:p>
      <w:r>
        <w:rPr>
          <w:rFonts w:ascii="Microsoft YaHei" w:hAnsi="Microsoft YaHei"/>
          <w:sz w:val="21"/>
        </w:rPr>
        <w:t>更根本的证伪包括：新增客户长期止步于验证；晶圆级筛选经济性被客户否定；多客户转向其他方案；收入明显扩张却仍无法改善主营利润与现金；依赖持续摊薄支撑经营。</w:t>
      </w:r>
    </w:p>
    <w:p/>
    <w:p>
      <w:r>
        <w:rPr>
          <w:rFonts w:ascii="Microsoft YaHei" w:hAnsi="Microsoft YaHei"/>
          <w:sz w:val="21"/>
        </w:rPr>
        <w:t>还应区分公司 thesis 与买入价格 thesis。公司变好但估值已经透支增长，也可以让投资回报逻辑失效。</w:t>
      </w:r>
    </w:p>
    <w:p/>
    <w:p>
      <w:r>
        <w:rPr>
          <w:rFonts w:ascii="Microsoft YaHei" w:hAnsi="Microsoft YaHei"/>
          <w:sz w:val="21"/>
        </w:rPr>
        <w:t>22. 最新动态</w:t>
      </w:r>
    </w:p>
    <w:p/>
    <w:p>
      <w:r>
        <w:rPr>
          <w:rFonts w:ascii="Microsoft YaHei" w:hAnsi="Microsoft YaHei"/>
          <w:sz w:val="21"/>
        </w:rPr>
        <w:t>2026-08-12：AI 晶圆级老化测试追加订单 2,200 万，计划六个月内发货。</w:t>
      </w:r>
    </w:p>
    <w:p>
      <w:r>
        <w:rPr>
          <w:rFonts w:ascii="Microsoft YaHei" w:hAnsi="Microsoft YaHei"/>
          <w:sz w:val="21"/>
        </w:rPr>
        <w:t>2026-08-04：主力硅光客户追加生产系统，计划 2027 自然年上半年发货。</w:t>
      </w:r>
    </w:p>
    <w:p>
      <w:r>
        <w:rPr>
          <w:rFonts w:ascii="Microsoft YaHei" w:hAnsi="Microsoft YaHei"/>
          <w:sz w:val="21"/>
        </w:rPr>
        <w:t>2026-07-14：公布 FY2026，FY2027 收入指引 1.30–1.50 亿；同时宣布超过 800 万 SiC 订单。</w:t>
      </w:r>
    </w:p>
    <w:p>
      <w:r>
        <w:rPr>
          <w:rFonts w:ascii="Microsoft YaHei" w:hAnsi="Microsoft YaHei"/>
          <w:sz w:val="21"/>
        </w:rPr>
        <w:t>2026-09-28：宣布参加 10/13 投资者峰会，不属于新增订单。</w:t>
      </w:r>
    </w:p>
    <w:p/>
    <w:p>
      <w:r>
        <w:rPr>
          <w:rFonts w:ascii="Microsoft YaHei" w:hAnsi="Microsoft YaHei"/>
          <w:sz w:val="21"/>
        </w:rPr>
        <w:t>截至本次官网核查，FY2027 Q1 尚未公布，未找到已确认的官方发布日期。FY2027 改为 2026-06-27 至 2027-06-25，5/30–6/26 另有过渡期，不能沿用历史季度日期。</w:t>
      </w:r>
    </w:p>
    <w:p/>
    <w:p>
      <w:r>
        <w:rPr>
          <w:rFonts w:ascii="Microsoft YaHei" w:hAnsi="Microsoft YaHei"/>
          <w:sz w:val="21"/>
        </w:rPr>
        <w:t>最新缺口：匿名客户身份、CPO 单独收入、分应用利润率、今天的现金与 backlog 均无充分披露，不估造。行情与技术统计来自 2026-10-02 读取的长桥 OHLCV，使用前复权收盘、同日简单收益及样本标准差；波动率按 √252 年化。长桥部分日期、EBIT 与 FCF 字段存在口径差异，财务以 SEC 原表为准。</w:t>
      </w:r>
    </w:p>
    <w:p/>
    <w:p>
      <w:r>
        <w:rPr>
          <w:rFonts w:ascii="Microsoft YaHei" w:hAnsi="Microsoft YaHei"/>
          <w:sz w:val="21"/>
        </w:rPr>
        <w:t>[公司新闻入口](https://www.aehr.com/category/news/) [官方财务新闻](https://www.aehr.com/financial-news/)</w:t>
      </w:r>
    </w:p>
    <w:p/>
    <w:p>
      <w:r>
        <w:rPr>
          <w:rFonts w:ascii="Microsoft YaHei" w:hAnsi="Microsoft YaHei"/>
          <w:sz w:val="21"/>
        </w:rPr>
        <w:t>我目前对公司的理解</w:t>
      </w:r>
    </w:p>
    <w:p/>
    <w:p>
      <w:r>
        <w:rPr>
          <w:rFonts w:ascii="Microsoft YaHei" w:hAnsi="Microsoft YaHei"/>
          <w:sz w:val="21"/>
        </w:rPr>
        <w:t>AEHR 已经回答了“有没有客户愿意为 AI 与硅光可靠性测试买生产设备”这个问题。接下来还有三道题：</w:t>
      </w:r>
    </w:p>
    <w:p/>
    <w:p>
      <w:r>
        <w:rPr>
          <w:rFonts w:ascii="Microsoft YaHei" w:hAnsi="Microsoft YaHei"/>
          <w:sz w:val="21"/>
        </w:rPr>
        <w:t>第一，扩产订单之后，客户是否持续推出新器件并重复购买接触器、模块和系统？</w:t>
      </w:r>
    </w:p>
    <w:p>
      <w:r>
        <w:rPr>
          <w:rFonts w:ascii="Microsoft YaHei" w:hAnsi="Microsoft YaHei"/>
          <w:sz w:val="21"/>
        </w:rPr>
        <w:t>第二，产品组合、交付能力与运营费用能否让收入增长真正留下现金？</w:t>
      </w:r>
    </w:p>
    <w:p>
      <w:r>
        <w:rPr>
          <w:rFonts w:ascii="Microsoft YaHei" w:hAnsi="Microsoft YaHei"/>
          <w:sz w:val="21"/>
        </w:rPr>
        <w:t>第三，在已经很高的估值上，这些现金增长最终能否快过股本摊薄和估值回落？</w:t>
      </w:r>
    </w:p>
    <w:p/>
    <w:p>
      <w:r>
        <w:rPr>
          <w:rFonts w:ascii="Microsoft YaHei" w:hAnsi="Microsoft YaHei"/>
          <w:sz w:val="21"/>
        </w:rPr>
        <w:t>前两道决定公司是否变好，第三道决定这只股票是否能给投资者带来好回报。研究应沿这三条线更新，而不是随着 AI 或 SiC 标签切换立场。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