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AI写作-权限管理</w:t>
      </w:r>
    </w:p>
    <w:p>
      <w:bookmarkStart w:id="mdycxsnwi14uk3cq5n" w:name="mdycxsnwi14uk3cq5n"/>
      <w:pPr>
        <w:pStyle w:val="dingding-heading1"/>
        <w:ind/>
        <w:spacing w:line="204.70588235294116"/>
      </w:pPr>
      <w:r>
        <w:rPr>
          <w:sz w:val="40"/>
          <w:rFonts w:ascii="等线" w:hAnsi="等线" w:cs="等线" w:eastAsia="等线"/>
          <w:color w:val="000000"/>
          <w:b w:val="1"/>
        </w:rPr>
        <w:t xml:space="preserve">一、需求背景</w:t>
      </w:r>
      <w:bookmarkEnd w:id="mdycxsnwi14uk3cq5n"/>
    </w:p>
    <w:p>
      <w:pPr>
        <w:ind/>
      </w:pPr>
      <w:r>
        <w:rPr>
          <w:sz w:val="24"/>
          <w:rFonts w:ascii="等线" w:hAnsi="等线" w:cs="等线" w:eastAsia="等线"/>
          <w:color w:val="000000"/>
        </w:rPr>
        <w:t xml:space="preserve">AI写作由探索广场转移至工作台后，作为【写作agent】，与原有的【自主规划agent】同级，需要增加对写作agent的权限分配。</w:t>
      </w:r>
    </w:p>
    <w:p>
      <w:bookmarkStart w:id="mdyctfuhksx60bm7t9h" w:name="mdyctfuhksx60bm7t9h"/>
      <w:pPr>
        <w:pStyle w:val="dingding-heading1"/>
        <w:ind/>
        <w:spacing w:line="204.70588235294116"/>
      </w:pPr>
      <w:r>
        <w:rPr>
          <w:sz w:val="40"/>
          <w:rFonts w:ascii="等线" w:hAnsi="等线" w:cs="等线" w:eastAsia="等线"/>
          <w:color w:val="000000"/>
          <w:b w:val="1"/>
        </w:rPr>
        <w:t xml:space="preserve">二、需求说明</w:t>
      </w:r>
      <w:bookmarkEnd w:id="mdyctfuhksx60bm7t9h"/>
    </w:p>
    <w:p>
      <w:bookmarkStart w:id="mdycge4jie4cqrl214f" w:name="mdycge4jie4cqrl214f"/>
      <w:pPr>
        <w:pStyle w:val="dingding-heading2"/>
        <w:ind/>
        <w:spacing w:line="204.70588235294116"/>
      </w:pPr>
      <w:r>
        <w:rPr>
          <w:sz w:val="32"/>
          <w:rFonts w:ascii="等线" w:hAnsi="等线" w:cs="等线" w:eastAsia="等线"/>
          <w:color w:val="000000"/>
          <w:b w:val="1"/>
        </w:rPr>
        <w:t xml:space="preserve">2.1 权限说明</w:t>
      </w:r>
      <w:bookmarkEnd w:id="mdycge4jie4cqrl214f"/>
    </w:p>
    <w:p>
      <w:pPr/>
      <w:r>
        <w:rPr>
          <w:b w:val="1"/>
        </w:rPr>
        <w:t xml:space="preserve">空间管理者默认拥有所有权限</w:t>
      </w:r>
    </w:p>
    <w:p>
      <w:pPr/>
      <w:r>
        <w:rPr>
          <w:b w:val="1"/>
        </w:rPr>
        <w:t xml:space="preserve">空间成员需分配后才有权限</w:t>
      </w:r>
      <w:r>
        <w:t xml:space="preserve">，具体权限分类及描述如下：</w:t>
      </w:r>
    </w:p>
    <w:p>
      <w:pPr>
        <w:numPr>
          <w:ilvl w:val="0"/>
          <w:numId w:val="1"/>
        </w:numPr>
      </w:pPr>
      <w:r>
        <w:rPr>
          <w:sz w:val="24"/>
          <w:rFonts w:ascii="等线" w:hAnsi="等线" w:cs="等线" w:eastAsia="等线"/>
          <w:color w:val="000000"/>
        </w:rPr>
        <w:t xml:space="preserve">可管理（可编辑模板全部内容，可使用模板）</w:t>
      </w:r>
    </w:p>
    <w:p>
      <w:pPr>
        <w:numPr>
          <w:ilvl w:val="0"/>
          <w:numId w:val="1"/>
        </w:numPr>
      </w:pPr>
      <w:r>
        <w:rPr>
          <w:sz w:val="24"/>
          <w:rFonts w:ascii="等线" w:hAnsi="等线" w:cs="等线" w:eastAsia="等线"/>
          <w:color w:val="000000"/>
        </w:rPr>
        <w:t xml:space="preserve">可查看（可查看模板全部内容，可使用模板）</w:t>
      </w:r>
    </w:p>
    <w:p>
      <w:pPr>
        <w:numPr>
          <w:ilvl w:val="0"/>
          <w:numId w:val="1"/>
        </w:numPr>
      </w:pPr>
      <w:r>
        <w:rPr>
          <w:sz w:val="24"/>
          <w:rFonts w:ascii="等线" w:hAnsi="等线" w:cs="等线" w:eastAsia="等线"/>
          <w:color w:val="000000"/>
        </w:rPr>
        <w:t xml:space="preserve">仅可使用（仅可使用模板）</w:t>
      </w:r>
    </w:p>
    <w:p>
      <w:pPr/>
      <w:r/>
    </w:p>
    <w:p>
      <w:bookmarkStart w:id="mdycge8cqaajb56iijp" w:name="mdycge8cqaajb56iijp"/>
      <w:pPr>
        <w:pStyle w:val="dingding-heading3"/>
        <w:ind/>
        <w:spacing w:line="204.70588235294116"/>
      </w:pPr>
      <w:r>
        <w:rPr>
          <w:sz w:val="28"/>
          <w:rFonts w:ascii="等线" w:hAnsi="等线" w:cs="等线" w:eastAsia="等线"/>
          <w:color w:val="000000"/>
          <w:b w:val="1"/>
        </w:rPr>
        <w:t xml:space="preserve">1.可管理</w:t>
      </w:r>
      <w:bookmarkEnd w:id="mdycge8cqaajb56iijp"/>
    </w:p>
    <w:p>
      <w:pPr/>
      <w:r>
        <w:t xml:space="preserve">拥有该写作agent的全部权限，包括使用、查看、编辑、发布等</w:t>
      </w:r>
    </w:p>
    <w:p>
      <w:pPr/>
      <w:r/>
    </w:p>
    <w:p>
      <w:bookmarkStart w:id="mdycx1ib7utyesww2db" w:name="mdycx1ib7utyesww2db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2.可查看</w:t>
      </w:r>
      <w:bookmarkEnd w:id="mdycx1ib7utyesww2db"/>
    </w:p>
    <w:tbl>
      <w:tblPr>
        <w:tblStyle w:val="TableGrid"/>
        <w:tblW w:w="0" w:type="auto"/>
      </w:tblPr>
      <w:tblGrid>
        <w:gridCol w:w="10895"/>
        <w:gridCol w:w="3849"/>
      </w:tblGrid>
      <w:tr>
        <w:trPr>
          <w:trHeight w:val="0"/>
        </w:trPr>
        <w:tc>
          <w:tcPr>
            <w:tcW w:w="10895" w:type="dxa"/>
            <w:vAlign w:val="top"/>
            <w:shd w:val="clear" w:color="auto" w:fill="E8F2FE"/>
          </w:tcPr>
          <w:p>
            <w:pPr/>
            <w:r/>
            <w:r>
              <w:drawing>
                <wp:inline distT="0" distB="0" distL="0" distR="0">
                  <wp:extent cx="4276725" cy="2371725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4276725" cy="237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849" w:type="dxa"/>
            <w:vAlign w:val="top"/>
            <w:shd w:val="clear" w:color="auto" w:fill="FFFAE5"/>
          </w:tcPr>
          <w:p>
            <w:pPr/>
            <w:r>
              <w:t xml:space="preserve">工作台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工作台【更多】按钮置灰不可点击，鼠标悬浮提示文案“没有权限，可向空间所有者申请权限”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点击编辑按钮进入编辑页面进行查看，不可编辑</w:t>
            </w:r>
          </w:p>
        </w:tc>
      </w:tr>
    </w:tbl>
    <w:tbl>
      <w:tblPr>
        <w:tblStyle w:val="TableGrid"/>
        <w:tblW w:w="0" w:type="auto"/>
      </w:tblPr>
      <w:tblGrid>
        <w:gridCol w:w="10865"/>
        <w:gridCol w:w="3879"/>
      </w:tblGrid>
      <w:tr>
        <w:trPr>
          <w:trHeight w:val="0"/>
        </w:trPr>
        <w:tc>
          <w:tcPr>
            <w:tcW w:w="10865" w:type="dxa"/>
            <w:vAlign w:val="top"/>
            <w:shd w:val="clear" w:color="auto" w:fill="E8F2FE"/>
          </w:tcPr>
          <w:p>
            <w:pPr/>
            <w:r/>
            <w:r>
              <w:drawing>
                <wp:inline distT="0" distB="0" distL="0" distR="0">
                  <wp:extent cx="6581775" cy="3286125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6581775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879" w:type="dxa"/>
            <w:vAlign w:val="top"/>
            <w:shd w:val="clear" w:color="auto" w:fill="FFFAE5"/>
          </w:tcPr>
          <w:p>
            <w:pPr/>
            <w:r>
              <w:t xml:space="preserve">信息收集页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仅可点击【下一步】和【返回】</w:t>
            </w:r>
          </w:p>
        </w:tc>
      </w:tr>
    </w:tbl>
    <w:tbl>
      <w:tblPr>
        <w:tblStyle w:val="TableGrid"/>
        <w:tblW w:w="0" w:type="auto"/>
      </w:tblPr>
      <w:tblGrid>
        <w:gridCol w:w="10880"/>
        <w:gridCol w:w="3864"/>
      </w:tblGrid>
      <w:tr>
        <w:trPr>
          <w:trHeight w:val="0"/>
        </w:trPr>
        <w:tc>
          <w:tcPr>
            <w:tcW w:w="10880" w:type="dxa"/>
            <w:vAlign w:val="top"/>
            <w:shd w:val="clear" w:color="auto" w:fill="E8F2FE"/>
          </w:tcPr>
          <w:p>
            <w:pPr/>
            <w:r/>
            <w:r>
              <w:drawing>
                <wp:inline distT="0" distB="0" distL="0" distR="0">
                  <wp:extent cx="6600825" cy="3293537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6600825" cy="3293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864" w:type="dxa"/>
            <w:vAlign w:val="top"/>
            <w:shd w:val="clear" w:color="auto" w:fill="FFFAE5"/>
          </w:tcPr>
          <w:p>
            <w:pPr/>
            <w:r>
              <w:t xml:space="preserve">模板编辑页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顶部：可查看变量、上传测试资料、点击测试按钮进入测试；保存与发布按钮不展示</w:t>
            </w:r>
          </w:p>
          <w:p>
            <w:pPr>
              <w:numPr>
                <w:ilvl w:val="0"/>
                <w:numId w:val="4"/>
              </w:numPr>
            </w:pPr>
            <w:r>
              <w:t xml:space="preserve">下方：仅可查看大纲及每个章节的写作要求，左图红框部分不展示，绿框部分仅展示，不可编辑</w:t>
            </w:r>
          </w:p>
        </w:tc>
      </w:tr>
    </w:tbl>
    <w:p>
      <w:bookmarkStart w:id="mdycybxblhmf4938w1h" w:name="mdycybxblhmf4938w1h"/>
      <w:pPr>
        <w:pStyle w:val="dingding-heading3"/>
        <w:ind/>
        <w:spacing w:line="204.70588235294116"/>
      </w:pPr>
      <w:r>
        <w:rPr>
          <w:sz w:val="28"/>
          <w:b w:val="1"/>
        </w:rPr>
        <w:t xml:space="preserve">3.仅可使用</w:t>
      </w:r>
      <w:bookmarkEnd w:id="mdycybxblhmf4938w1h"/>
    </w:p>
    <w:tbl>
      <w:tblPr>
        <w:tblStyle w:val="TableGrid"/>
        <w:tblW w:w="0" w:type="auto"/>
      </w:tblPr>
      <w:tblGrid>
        <w:gridCol w:w="10865"/>
        <w:gridCol w:w="3879"/>
      </w:tblGrid>
      <w:tr>
        <w:trPr>
          <w:trHeight w:val="0"/>
        </w:trPr>
        <w:tc>
          <w:tcPr>
            <w:tcW w:w="10865" w:type="dxa"/>
            <w:vAlign w:val="top"/>
            <w:shd w:val="clear" w:color="auto" w:fill="E8F2FE"/>
          </w:tcPr>
          <w:p>
            <w:pPr/>
            <w:r/>
            <w:r>
              <w:drawing>
                <wp:inline distT="0" distB="0" distL="0" distR="0">
                  <wp:extent cx="5715000" cy="3181350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5715000" cy="3181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879" w:type="dxa"/>
            <w:vAlign w:val="top"/>
            <w:shd w:val="clear" w:color="auto" w:fill="FFFAE5"/>
          </w:tcPr>
          <w:p>
            <w:pPr/>
            <w:r>
              <w:t xml:space="preserve">工作台页面【更多】和【编辑】按钮置灰不可点击，鼠标悬浮提示文案“没有权限，可向空间所有者申请权限”</w:t>
            </w:r>
          </w:p>
        </w:tc>
      </w:tr>
    </w:tbl>
    <w:p>
      <w:bookmarkStart w:id="mdycfqyt2pzhkckicub" w:name="mdycfqyt2pzhkckicub"/>
      <w:pPr>
        <w:pStyle w:val="dingding-heading2"/>
        <w:ind/>
        <w:spacing w:line="204.70588235294116"/>
      </w:pPr>
      <w:r>
        <w:rPr>
          <w:sz w:val="32"/>
          <w:rFonts w:ascii="等线" w:hAnsi="等线" w:cs="等线" w:eastAsia="等线"/>
          <w:color w:val="000000"/>
          <w:b w:val="1"/>
        </w:rPr>
        <w:t xml:space="preserve">2.2 权限编辑入口</w:t>
      </w:r>
      <w:bookmarkEnd w:id="mdycfqyt2pzhkckicub"/>
    </w:p>
    <w:p>
      <w:bookmarkStart w:id="mdyca75boouqlrbrz" w:name="mdyca75boouqlrbrz"/>
      <w:pPr>
        <w:pStyle w:val="dingding-heading3"/>
        <w:ind/>
        <w:spacing w:line="204.70588235294116"/>
      </w:pPr>
      <w:r>
        <w:rPr>
          <w:sz w:val="28"/>
          <w:rFonts w:ascii="等线" w:hAnsi="等线" w:cs="等线" w:eastAsia="等线"/>
          <w:color w:val="000000"/>
          <w:b w:val="1"/>
        </w:rPr>
        <w:t xml:space="preserve">1.成员管理-权限变更</w:t>
      </w:r>
      <w:bookmarkEnd w:id="mdyca75boouqlrbrz"/>
    </w:p>
    <w:p>
      <w:pPr>
        <w:ind/>
      </w:pPr>
      <w:r>
        <w:rPr>
          <w:sz w:val="24"/>
          <w:rFonts w:ascii="等线" w:hAnsi="等线" w:cs="等线" w:eastAsia="等线"/>
          <w:color w:val="000000"/>
        </w:rPr>
      </w:r>
      <w:r>
        <w:drawing>
          <wp:inline distT="0" distB="0" distL="0" distR="0">
            <wp:extent cx="9363075" cy="4676775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93630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rFonts w:ascii="等线" w:hAnsi="等线" w:cs="等线" w:eastAsia="等线"/>
          <w:color w:val="000000"/>
        </w:rPr>
      </w:r>
    </w:p>
    <w:p>
      <w:pPr>
        <w:ind/>
      </w:pPr>
      <w:r>
        <w:rPr>
          <w:sz w:val="24"/>
          <w:rFonts w:ascii="等线" w:hAnsi="等线" w:cs="等线" w:eastAsia="等线"/>
          <w:color w:val="000000"/>
        </w:rPr>
      </w:r>
      <w:r>
        <w:drawing>
          <wp:inline distT="0" distB="0" distL="0" distR="0">
            <wp:extent cx="9363075" cy="5541851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9363075" cy="554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rFonts w:ascii="等线" w:hAnsi="等线" w:cs="等线" w:eastAsia="等线"/>
          <w:color w:val="000000"/>
        </w:rPr>
      </w:r>
    </w:p>
    <w:p>
      <w:pPr/>
      <w:r/>
    </w:p>
    <w:p>
      <w:pPr/>
      <w:r>
        <w:rPr>
          <w:sz w:val="24"/>
          <w:rFonts w:ascii="等线" w:hAnsi="等线" w:cs="等线" w:eastAsia="等线"/>
          <w:color w:val="000000"/>
        </w:rPr>
      </w:r>
    </w:p>
    <w:p>
      <w:pPr/>
      <w:r>
        <w:rPr>
          <w:sz w:val="24"/>
          <w:rFonts w:ascii="等线" w:hAnsi="等线" w:cs="等线" w:eastAsia="等线"/>
          <w:color w:val="000000"/>
        </w:rPr>
      </w:r>
    </w:p>
    <w:p>
      <w:bookmarkStart w:id="mdycdbrtz4v6l5g5cw" w:name="mdycdbrtz4v6l5g5cw"/>
      <w:pPr>
        <w:pStyle w:val="dingding-heading3"/>
        <w:spacing w:line="204.70588235294116"/>
      </w:pPr>
      <w:r>
        <w:rPr>
          <w:sz w:val="28"/>
          <w:rFonts w:ascii="等线" w:hAnsi="等线" w:cs="等线" w:eastAsia="等线"/>
          <w:color w:val="000000"/>
          <w:b w:val="1"/>
        </w:rPr>
        <w:t xml:space="preserve">2.智能体管理-智能体权限</w:t>
      </w:r>
      <w:bookmarkEnd w:id="mdycdbrtz4v6l5g5cw"/>
    </w:p>
    <w:p>
      <w:pPr>
        <w:numPr>
          <w:ilvl w:val="0"/>
          <w:numId w:val="5"/>
        </w:numPr>
      </w:pPr>
      <w:r>
        <w:t xml:space="preserve">智能体列表</w:t>
      </w:r>
    </w:p>
    <w:p>
      <w:pPr>
        <w:numPr>
          <w:ilvl w:val="1"/>
          <w:numId w:val="5"/>
        </w:numPr>
      </w:pPr>
      <w:r>
        <w:t xml:space="preserve">按智能体类型分类展示【自主规划Agent】和【写作Agent】及数量</w:t>
      </w:r>
    </w:p>
    <w:p>
      <w:pPr>
        <w:numPr>
          <w:ilvl w:val="1"/>
          <w:numId w:val="5"/>
        </w:numPr>
      </w:pPr>
      <w:r>
        <w:t xml:space="preserve">点击分类名右侧图标可展开收起，默认展开，同类型下可拖动排序</w:t>
      </w:r>
    </w:p>
    <w:p>
      <w:pPr>
        <w:numPr>
          <w:ilvl w:val="1"/>
          <w:numId w:val="5"/>
        </w:numPr>
      </w:pPr>
      <w:r>
        <w:t xml:space="preserve">选中某一agent后，右侧展示该agent的成员列表</w:t>
      </w:r>
    </w:p>
    <w:p>
      <w:pPr/>
      <w:r>
        <w:rPr>
          <w:sz w:val="24"/>
          <w:rFonts w:ascii="等线" w:hAnsi="等线" w:cs="等线" w:eastAsia="等线"/>
          <w:color w:val="000000"/>
        </w:rPr>
      </w:r>
      <w:r>
        <w:drawing>
          <wp:inline distT="0" distB="0" distL="0" distR="0">
            <wp:extent cx="9363075" cy="4711167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9363075" cy="47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rFonts w:ascii="等线" w:hAnsi="等线" w:cs="等线" w:eastAsia="等线"/>
          <w:color w:val="000000"/>
        </w:rPr>
      </w:r>
    </w:p>
    <w:p>
      <w:pPr/>
      <w:r/>
      <w:r>
        <w:drawing>
          <wp:inline distT="0" distB="0" distL="0" distR="0">
            <wp:extent cx="9363075" cy="5228622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9363075" cy="522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6905" w:h="23820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5">
    <w:abstractNumId w:val="4"/>
  </w:num>
  <w:num w:numId="4">
    <w:abstractNumId w:val="3"/>
  </w: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