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FA4F1" w14:textId="77777777" w:rsidR="00324840" w:rsidRPr="00324840" w:rsidRDefault="00324840" w:rsidP="00324840">
      <w:pPr>
        <w:spacing w:line="480" w:lineRule="auto"/>
        <w:rPr>
          <w:rFonts w:ascii="Times New Roman" w:hAnsi="Times New Roman" w:cs="Times New Roman"/>
          <w:b/>
          <w:bCs/>
          <w:sz w:val="24"/>
          <w:szCs w:val="24"/>
        </w:rPr>
      </w:pPr>
      <w:r w:rsidRPr="00324840">
        <w:rPr>
          <w:rFonts w:ascii="Times New Roman" w:hAnsi="Times New Roman" w:cs="Times New Roman"/>
          <w:b/>
          <w:bCs/>
          <w:sz w:val="24"/>
          <w:szCs w:val="24"/>
        </w:rPr>
        <w:t>Supplementary Methods</w:t>
      </w:r>
    </w:p>
    <w:p w14:paraId="39A7719D" w14:textId="77777777" w:rsidR="00324840" w:rsidRPr="00324840" w:rsidRDefault="00324840" w:rsidP="00324840">
      <w:pPr>
        <w:spacing w:line="480" w:lineRule="auto"/>
        <w:rPr>
          <w:rFonts w:ascii="Times New Roman" w:hAnsi="Times New Roman" w:cs="Times New Roman"/>
          <w:b/>
          <w:bCs/>
          <w:sz w:val="24"/>
          <w:szCs w:val="24"/>
        </w:rPr>
      </w:pPr>
      <w:r w:rsidRPr="00324840">
        <w:rPr>
          <w:rFonts w:ascii="Times New Roman" w:hAnsi="Times New Roman" w:cs="Times New Roman"/>
          <w:b/>
          <w:bCs/>
          <w:sz w:val="24"/>
          <w:szCs w:val="24"/>
        </w:rPr>
        <w:t>S2.1 Experimental design</w:t>
      </w:r>
    </w:p>
    <w:p w14:paraId="67BE797C" w14:textId="77777777" w:rsidR="00324840" w:rsidRDefault="00324840" w:rsidP="00324840">
      <w:pPr>
        <w:spacing w:line="480" w:lineRule="auto"/>
        <w:rPr>
          <w:rFonts w:ascii="Times New Roman" w:hAnsi="Times New Roman" w:cs="Times New Roman"/>
          <w:sz w:val="24"/>
          <w:szCs w:val="24"/>
        </w:rPr>
      </w:pPr>
      <w:r w:rsidRPr="00324840">
        <w:rPr>
          <w:rFonts w:ascii="Times New Roman" w:hAnsi="Times New Roman" w:cs="Times New Roman"/>
          <w:sz w:val="24"/>
          <w:szCs w:val="24"/>
        </w:rPr>
        <w:t>This study used invasive </w:t>
      </w:r>
      <w:r w:rsidRPr="00324840">
        <w:rPr>
          <w:rFonts w:ascii="Times New Roman" w:hAnsi="Times New Roman" w:cs="Times New Roman"/>
          <w:i/>
          <w:iCs/>
          <w:sz w:val="24"/>
          <w:szCs w:val="24"/>
        </w:rPr>
        <w:t>P. americana</w:t>
      </w:r>
      <w:r w:rsidRPr="00324840">
        <w:rPr>
          <w:rFonts w:ascii="Times New Roman" w:hAnsi="Times New Roman" w:cs="Times New Roman"/>
          <w:sz w:val="24"/>
          <w:szCs w:val="24"/>
        </w:rPr>
        <w:t> and native </w:t>
      </w:r>
      <w:r w:rsidRPr="00324840">
        <w:rPr>
          <w:rFonts w:ascii="Times New Roman" w:hAnsi="Times New Roman" w:cs="Times New Roman"/>
          <w:i/>
          <w:iCs/>
          <w:sz w:val="24"/>
          <w:szCs w:val="24"/>
        </w:rPr>
        <w:t xml:space="preserve">P. </w:t>
      </w:r>
      <w:proofErr w:type="spellStart"/>
      <w:r w:rsidRPr="00324840">
        <w:rPr>
          <w:rFonts w:ascii="Times New Roman" w:hAnsi="Times New Roman" w:cs="Times New Roman"/>
          <w:i/>
          <w:iCs/>
          <w:sz w:val="24"/>
          <w:szCs w:val="24"/>
        </w:rPr>
        <w:t>acinosa</w:t>
      </w:r>
      <w:proofErr w:type="spellEnd"/>
      <w:r w:rsidRPr="00324840">
        <w:rPr>
          <w:rFonts w:ascii="Times New Roman" w:hAnsi="Times New Roman" w:cs="Times New Roman"/>
          <w:sz w:val="24"/>
          <w:szCs w:val="24"/>
        </w:rPr>
        <w:t> to investigate growth, reproduction, organ Cd partitioning, and Cd transfer at the plant-pollinator interface under Cd contamination. Four experiments were conducted. First, a Cd gradient pot experiment with 0, 3, 15, and 30 mg kg⁻¹ Cd compared growth, reproductive traits, and Cd accumulation in roots, leaves, flowers, pollen, and nectar of the two </w:t>
      </w:r>
      <w:r w:rsidRPr="00324840">
        <w:rPr>
          <w:rFonts w:ascii="Times New Roman" w:hAnsi="Times New Roman" w:cs="Times New Roman"/>
          <w:i/>
          <w:iCs/>
          <w:sz w:val="24"/>
          <w:szCs w:val="24"/>
        </w:rPr>
        <w:t>Phytolacca</w:t>
      </w:r>
      <w:r w:rsidRPr="00324840">
        <w:rPr>
          <w:rFonts w:ascii="Times New Roman" w:hAnsi="Times New Roman" w:cs="Times New Roman"/>
          <w:sz w:val="24"/>
          <w:szCs w:val="24"/>
        </w:rPr>
        <w:t> species. Second, </w:t>
      </w:r>
      <w:r w:rsidRPr="00324840">
        <w:rPr>
          <w:rFonts w:ascii="Times New Roman" w:hAnsi="Times New Roman" w:cs="Times New Roman"/>
          <w:i/>
          <w:iCs/>
          <w:sz w:val="24"/>
          <w:szCs w:val="24"/>
        </w:rPr>
        <w:t>P. americana</w:t>
      </w:r>
      <w:r w:rsidRPr="00324840">
        <w:rPr>
          <w:rFonts w:ascii="Times New Roman" w:hAnsi="Times New Roman" w:cs="Times New Roman"/>
          <w:sz w:val="24"/>
          <w:szCs w:val="24"/>
        </w:rPr>
        <w:t> was labeled with ¹¹¹Cd and </w:t>
      </w:r>
      <w:r w:rsidRPr="00324840">
        <w:rPr>
          <w:rFonts w:ascii="Times New Roman" w:hAnsi="Times New Roman" w:cs="Times New Roman"/>
          <w:i/>
          <w:iCs/>
          <w:sz w:val="24"/>
          <w:szCs w:val="24"/>
        </w:rPr>
        <w:t xml:space="preserve">P. </w:t>
      </w:r>
      <w:proofErr w:type="spellStart"/>
      <w:r w:rsidRPr="00324840">
        <w:rPr>
          <w:rFonts w:ascii="Times New Roman" w:hAnsi="Times New Roman" w:cs="Times New Roman"/>
          <w:i/>
          <w:iCs/>
          <w:sz w:val="24"/>
          <w:szCs w:val="24"/>
        </w:rPr>
        <w:t>acinosa</w:t>
      </w:r>
      <w:proofErr w:type="spellEnd"/>
      <w:r w:rsidRPr="00324840">
        <w:rPr>
          <w:rFonts w:ascii="Times New Roman" w:hAnsi="Times New Roman" w:cs="Times New Roman"/>
          <w:sz w:val="24"/>
          <w:szCs w:val="24"/>
        </w:rPr>
        <w:t> with ¹¹³Cd, and flower visitation observations of </w:t>
      </w:r>
      <w:r w:rsidRPr="00324840">
        <w:rPr>
          <w:rFonts w:ascii="Times New Roman" w:hAnsi="Times New Roman" w:cs="Times New Roman"/>
          <w:i/>
          <w:iCs/>
          <w:sz w:val="24"/>
          <w:szCs w:val="24"/>
        </w:rPr>
        <w:t>A. cerana</w:t>
      </w:r>
      <w:r w:rsidRPr="00324840">
        <w:rPr>
          <w:rFonts w:ascii="Times New Roman" w:hAnsi="Times New Roman" w:cs="Times New Roman"/>
          <w:sz w:val="24"/>
          <w:szCs w:val="24"/>
        </w:rPr>
        <w:t> were combined with pollen feeding trials to test whether plant-absorbed Cd can cross the plant-pollinator interface via pollen and enter bees. Third, an independent Cd oral exposure experiment evaluated potential effects of Cd on </w:t>
      </w:r>
      <w:r w:rsidRPr="00324840">
        <w:rPr>
          <w:rFonts w:ascii="Times New Roman" w:hAnsi="Times New Roman" w:cs="Times New Roman"/>
          <w:i/>
          <w:iCs/>
          <w:sz w:val="24"/>
          <w:szCs w:val="24"/>
        </w:rPr>
        <w:t>A. cerana</w:t>
      </w:r>
      <w:r w:rsidRPr="00324840">
        <w:rPr>
          <w:rFonts w:ascii="Times New Roman" w:hAnsi="Times New Roman" w:cs="Times New Roman"/>
          <w:sz w:val="24"/>
          <w:szCs w:val="24"/>
        </w:rPr>
        <w:t> survival and gut microbial communities. This experiment was independent of the plant-derived Cd transfer trial. The Cd concentration used was intended to evaluate potential biological hazards of Cd and does not represent actual exposure levels in natural pollen or nectar. Fourth, an exploratory literature synthesis of heavy metal tolerance, accumulation, and hyperaccumulation evidence for 64 invasive plant species was combined with plant pollen eDNA and heavy metal analysis of wild honey from across China to provide cross-species and field-scale contextual evidence.</w:t>
      </w:r>
    </w:p>
    <w:p w14:paraId="4CF503AD" w14:textId="77777777" w:rsidR="00324840" w:rsidRPr="00324840" w:rsidRDefault="00324840" w:rsidP="00324840">
      <w:pPr>
        <w:spacing w:line="480" w:lineRule="auto"/>
        <w:rPr>
          <w:rFonts w:ascii="Times New Roman" w:hAnsi="Times New Roman" w:cs="Times New Roman"/>
          <w:sz w:val="24"/>
          <w:szCs w:val="24"/>
        </w:rPr>
      </w:pPr>
    </w:p>
    <w:p w14:paraId="11478801" w14:textId="77777777" w:rsidR="00324840" w:rsidRPr="00324840" w:rsidRDefault="00324840" w:rsidP="00324840">
      <w:pPr>
        <w:spacing w:line="480" w:lineRule="auto"/>
        <w:rPr>
          <w:rFonts w:ascii="Times New Roman" w:hAnsi="Times New Roman" w:cs="Times New Roman"/>
          <w:b/>
          <w:bCs/>
          <w:sz w:val="24"/>
          <w:szCs w:val="24"/>
        </w:rPr>
      </w:pPr>
      <w:r w:rsidRPr="00324840">
        <w:rPr>
          <w:rFonts w:ascii="Times New Roman" w:hAnsi="Times New Roman" w:cs="Times New Roman"/>
          <w:b/>
          <w:bCs/>
          <w:sz w:val="24"/>
          <w:szCs w:val="24"/>
        </w:rPr>
        <w:t>S2.2 Plant materials, seed sources, and growth conditions</w:t>
      </w:r>
    </w:p>
    <w:p w14:paraId="00394ECE" w14:textId="77777777" w:rsidR="00324840" w:rsidRDefault="00324840" w:rsidP="00324840">
      <w:pPr>
        <w:spacing w:line="480" w:lineRule="auto"/>
        <w:rPr>
          <w:rFonts w:ascii="Times New Roman" w:hAnsi="Times New Roman" w:cs="Times New Roman"/>
          <w:sz w:val="24"/>
          <w:szCs w:val="24"/>
        </w:rPr>
      </w:pPr>
      <w:r w:rsidRPr="00324840">
        <w:rPr>
          <w:rFonts w:ascii="Times New Roman" w:hAnsi="Times New Roman" w:cs="Times New Roman"/>
          <w:i/>
          <w:iCs/>
          <w:sz w:val="24"/>
          <w:szCs w:val="24"/>
        </w:rPr>
        <w:t>P. americana</w:t>
      </w:r>
      <w:r w:rsidRPr="00324840">
        <w:rPr>
          <w:rFonts w:ascii="Times New Roman" w:hAnsi="Times New Roman" w:cs="Times New Roman"/>
          <w:sz w:val="24"/>
          <w:szCs w:val="24"/>
        </w:rPr>
        <w:t xml:space="preserve"> seeds were collected from Chenggong District, Kunming City, Yunnan </w:t>
      </w:r>
      <w:r w:rsidRPr="00324840">
        <w:rPr>
          <w:rFonts w:ascii="Times New Roman" w:hAnsi="Times New Roman" w:cs="Times New Roman"/>
          <w:sz w:val="24"/>
          <w:szCs w:val="24"/>
        </w:rPr>
        <w:lastRenderedPageBreak/>
        <w:t>Province (24°50′N, 102°52′E). Native </w:t>
      </w:r>
      <w:r w:rsidRPr="00324840">
        <w:rPr>
          <w:rFonts w:ascii="Times New Roman" w:hAnsi="Times New Roman" w:cs="Times New Roman"/>
          <w:i/>
          <w:iCs/>
          <w:sz w:val="24"/>
          <w:szCs w:val="24"/>
        </w:rPr>
        <w:t xml:space="preserve">P. </w:t>
      </w:r>
      <w:proofErr w:type="spellStart"/>
      <w:r w:rsidRPr="00324840">
        <w:rPr>
          <w:rFonts w:ascii="Times New Roman" w:hAnsi="Times New Roman" w:cs="Times New Roman"/>
          <w:i/>
          <w:iCs/>
          <w:sz w:val="24"/>
          <w:szCs w:val="24"/>
        </w:rPr>
        <w:t>acinosa</w:t>
      </w:r>
      <w:proofErr w:type="spellEnd"/>
      <w:r w:rsidRPr="00324840">
        <w:rPr>
          <w:rFonts w:ascii="Times New Roman" w:hAnsi="Times New Roman" w:cs="Times New Roman"/>
          <w:sz w:val="24"/>
          <w:szCs w:val="24"/>
        </w:rPr>
        <w:t xml:space="preserve"> seeds were collected from </w:t>
      </w:r>
      <w:proofErr w:type="spellStart"/>
      <w:r w:rsidRPr="00324840">
        <w:rPr>
          <w:rFonts w:ascii="Times New Roman" w:hAnsi="Times New Roman" w:cs="Times New Roman"/>
          <w:sz w:val="24"/>
          <w:szCs w:val="24"/>
        </w:rPr>
        <w:t>Dahe</w:t>
      </w:r>
      <w:proofErr w:type="spellEnd"/>
      <w:r w:rsidRPr="00324840">
        <w:rPr>
          <w:rFonts w:ascii="Times New Roman" w:hAnsi="Times New Roman" w:cs="Times New Roman"/>
          <w:sz w:val="24"/>
          <w:szCs w:val="24"/>
        </w:rPr>
        <w:t xml:space="preserve"> Town, </w:t>
      </w:r>
      <w:proofErr w:type="spellStart"/>
      <w:r w:rsidRPr="00324840">
        <w:rPr>
          <w:rFonts w:ascii="Times New Roman" w:hAnsi="Times New Roman" w:cs="Times New Roman"/>
          <w:sz w:val="24"/>
          <w:szCs w:val="24"/>
        </w:rPr>
        <w:t>Fuyuan</w:t>
      </w:r>
      <w:proofErr w:type="spellEnd"/>
      <w:r w:rsidRPr="00324840">
        <w:rPr>
          <w:rFonts w:ascii="Times New Roman" w:hAnsi="Times New Roman" w:cs="Times New Roman"/>
          <w:sz w:val="24"/>
          <w:szCs w:val="24"/>
        </w:rPr>
        <w:t xml:space="preserve"> County, </w:t>
      </w:r>
      <w:proofErr w:type="spellStart"/>
      <w:r w:rsidRPr="00324840">
        <w:rPr>
          <w:rFonts w:ascii="Times New Roman" w:hAnsi="Times New Roman" w:cs="Times New Roman"/>
          <w:sz w:val="24"/>
          <w:szCs w:val="24"/>
        </w:rPr>
        <w:t>Qujing</w:t>
      </w:r>
      <w:proofErr w:type="spellEnd"/>
      <w:r w:rsidRPr="00324840">
        <w:rPr>
          <w:rFonts w:ascii="Times New Roman" w:hAnsi="Times New Roman" w:cs="Times New Roman"/>
          <w:sz w:val="24"/>
          <w:szCs w:val="24"/>
        </w:rPr>
        <w:t xml:space="preserve"> City, Yunnan Province (25°55′N, 104°29′E). At each sampling site, naturally growing mature populations were selected, with distances between sampling sites of at least 2 km. At each site, mature fruits were randomly collected from 5 to 10 mature plants, brought back to the laboratory, </w:t>
      </w:r>
      <w:proofErr w:type="spellStart"/>
      <w:r w:rsidRPr="00324840">
        <w:rPr>
          <w:rFonts w:ascii="Times New Roman" w:hAnsi="Times New Roman" w:cs="Times New Roman"/>
          <w:sz w:val="24"/>
          <w:szCs w:val="24"/>
        </w:rPr>
        <w:t>depulped</w:t>
      </w:r>
      <w:proofErr w:type="spellEnd"/>
      <w:r w:rsidRPr="00324840">
        <w:rPr>
          <w:rFonts w:ascii="Times New Roman" w:hAnsi="Times New Roman" w:cs="Times New Roman"/>
          <w:sz w:val="24"/>
          <w:szCs w:val="24"/>
        </w:rPr>
        <w:t>, washed with deionized water, and air dried to obtain seeds.</w:t>
      </w:r>
    </w:p>
    <w:p w14:paraId="16AEA7B8" w14:textId="77777777" w:rsidR="00324840" w:rsidRPr="00324840" w:rsidRDefault="00324840" w:rsidP="00324840">
      <w:pPr>
        <w:spacing w:line="480" w:lineRule="auto"/>
        <w:rPr>
          <w:rFonts w:ascii="Times New Roman" w:hAnsi="Times New Roman" w:cs="Times New Roman"/>
          <w:sz w:val="24"/>
          <w:szCs w:val="24"/>
        </w:rPr>
      </w:pPr>
    </w:p>
    <w:p w14:paraId="3190F068" w14:textId="77777777" w:rsidR="00324840" w:rsidRDefault="00324840" w:rsidP="00324840">
      <w:pPr>
        <w:spacing w:line="480" w:lineRule="auto"/>
        <w:rPr>
          <w:rFonts w:ascii="Times New Roman" w:hAnsi="Times New Roman" w:cs="Times New Roman"/>
          <w:sz w:val="24"/>
          <w:szCs w:val="24"/>
        </w:rPr>
      </w:pPr>
      <w:r w:rsidRPr="00324840">
        <w:rPr>
          <w:rFonts w:ascii="Times New Roman" w:hAnsi="Times New Roman" w:cs="Times New Roman"/>
          <w:sz w:val="24"/>
          <w:szCs w:val="24"/>
        </w:rPr>
        <w:t>To break seed dormancy, seeds of both species were treated with concentrated sulfuric acid for 5 min, rinsed 3 to 5 times with deionized water, and germinated at 27 ± 1 °C under a 12 h light/12 h dark photoperiod. After 14 d of germination, seedlings of similar size and growth status were transplanted into plastic pots (19 cm diameter, 17.6 cm height), with one plant per pot containing 1.5 kg of mixed substrate.</w:t>
      </w:r>
    </w:p>
    <w:p w14:paraId="5D54FC4C" w14:textId="77777777" w:rsidR="00324840" w:rsidRPr="00324840" w:rsidRDefault="00324840" w:rsidP="00324840">
      <w:pPr>
        <w:spacing w:line="480" w:lineRule="auto"/>
        <w:rPr>
          <w:rFonts w:ascii="Times New Roman" w:hAnsi="Times New Roman" w:cs="Times New Roman"/>
          <w:sz w:val="24"/>
          <w:szCs w:val="24"/>
        </w:rPr>
      </w:pPr>
    </w:p>
    <w:p w14:paraId="206388C5" w14:textId="77777777" w:rsidR="00324840" w:rsidRDefault="00324840" w:rsidP="00324840">
      <w:pPr>
        <w:spacing w:line="480" w:lineRule="auto"/>
        <w:rPr>
          <w:rFonts w:ascii="Times New Roman" w:hAnsi="Times New Roman" w:cs="Times New Roman"/>
          <w:sz w:val="24"/>
          <w:szCs w:val="24"/>
        </w:rPr>
      </w:pPr>
      <w:r w:rsidRPr="00324840">
        <w:rPr>
          <w:rFonts w:ascii="Times New Roman" w:hAnsi="Times New Roman" w:cs="Times New Roman"/>
          <w:sz w:val="24"/>
          <w:szCs w:val="24"/>
        </w:rPr>
        <w:t>The common garden pot experiment was conducted in a greenhouse at Yunnan University, with an average temperature of approximately 25 °C and relative humidity of approximately 60%. The growth substrate consisted of field red soil and nutrient soil mixed at 1:2 (w/w). Initial physicochemical properties were pH 4.28, organic matter 228.27 g kg⁻¹, total carbon 173.46 g kg⁻¹, total nitrogen 10.80 g kg⁻¹, total phosphorus 1.48 g kg⁻¹, available phosphorus 0.85 mg kg⁻¹, available potassium 431.97 mg kg⁻¹, and total Cd below detection limit (&lt;0.01 mg kg⁻¹). During the experiment, deionized water was replenished by the weighing method to maintain substrate moisture at approximately 60% field capacity.</w:t>
      </w:r>
    </w:p>
    <w:p w14:paraId="63F1BDF8" w14:textId="77777777" w:rsidR="00324840" w:rsidRPr="00324840" w:rsidRDefault="00324840" w:rsidP="00324840">
      <w:pPr>
        <w:spacing w:line="480" w:lineRule="auto"/>
        <w:rPr>
          <w:rFonts w:ascii="Times New Roman" w:hAnsi="Times New Roman" w:cs="Times New Roman"/>
          <w:sz w:val="24"/>
          <w:szCs w:val="24"/>
        </w:rPr>
      </w:pPr>
    </w:p>
    <w:p w14:paraId="2582BE44" w14:textId="77777777" w:rsidR="00324840" w:rsidRPr="00324840" w:rsidRDefault="00324840" w:rsidP="00324840">
      <w:pPr>
        <w:spacing w:line="480" w:lineRule="auto"/>
        <w:rPr>
          <w:rFonts w:ascii="Times New Roman" w:hAnsi="Times New Roman" w:cs="Times New Roman"/>
          <w:b/>
          <w:bCs/>
          <w:sz w:val="24"/>
          <w:szCs w:val="24"/>
        </w:rPr>
      </w:pPr>
      <w:r w:rsidRPr="00324840">
        <w:rPr>
          <w:rFonts w:ascii="Times New Roman" w:hAnsi="Times New Roman" w:cs="Times New Roman"/>
          <w:b/>
          <w:bCs/>
          <w:sz w:val="24"/>
          <w:szCs w:val="24"/>
        </w:rPr>
        <w:t>S2.3 Cd gradient setup</w:t>
      </w:r>
    </w:p>
    <w:p w14:paraId="23CA023C" w14:textId="77777777" w:rsidR="00324840" w:rsidRDefault="00324840" w:rsidP="00324840">
      <w:pPr>
        <w:spacing w:line="480" w:lineRule="auto"/>
        <w:rPr>
          <w:rFonts w:ascii="Times New Roman" w:hAnsi="Times New Roman" w:cs="Times New Roman"/>
          <w:sz w:val="24"/>
          <w:szCs w:val="24"/>
        </w:rPr>
      </w:pPr>
      <w:r w:rsidRPr="00324840">
        <w:rPr>
          <w:rFonts w:ascii="Times New Roman" w:hAnsi="Times New Roman" w:cs="Times New Roman"/>
          <w:sz w:val="24"/>
          <w:szCs w:val="24"/>
        </w:rPr>
        <w:t xml:space="preserve">When plants reached 5 to 6 true leaves, four soil Cd treatments were established: 0 mg kg⁻¹ (CK), 3 mg kg⁻¹ (L), 15 mg kg⁻¹ (M), and 30 mg kg⁻¹ (H). This gradient was determined based on previous Cd stress research and preliminary experiments, intended to construct a controlled experimental exposure range from low to high, and does not directly correspond to environmental quality or food safety regulatory thresholds (Chen et al., 2025). The target Cd addition was calculated based on dry soil mass per pot. </w:t>
      </w:r>
      <w:proofErr w:type="spellStart"/>
      <w:r w:rsidRPr="00324840">
        <w:rPr>
          <w:rFonts w:ascii="Times New Roman" w:hAnsi="Times New Roman" w:cs="Times New Roman"/>
          <w:sz w:val="24"/>
          <w:szCs w:val="24"/>
        </w:rPr>
        <w:t>CdCl</w:t>
      </w:r>
      <w:proofErr w:type="spellEnd"/>
      <w:r w:rsidRPr="00324840">
        <w:rPr>
          <w:rFonts w:ascii="Times New Roman" w:hAnsi="Times New Roman" w:cs="Times New Roman"/>
          <w:sz w:val="24"/>
          <w:szCs w:val="24"/>
        </w:rPr>
        <w:t>₂·2.5H₂O was prepared as a working solution and applied uniformly to the pot soil in a single application. Each species by Cd concentration combination had 40 independent pots, one plant per pot, totaling 320 pots. All pots were randomly arranged under identical greenhouse conditions and managed uniformly until flowering and fruiting stages.</w:t>
      </w:r>
    </w:p>
    <w:p w14:paraId="79376ED9" w14:textId="77777777" w:rsidR="00324840" w:rsidRPr="00324840" w:rsidRDefault="00324840" w:rsidP="00324840">
      <w:pPr>
        <w:spacing w:line="480" w:lineRule="auto"/>
        <w:rPr>
          <w:rFonts w:ascii="Times New Roman" w:hAnsi="Times New Roman" w:cs="Times New Roman"/>
          <w:sz w:val="24"/>
          <w:szCs w:val="24"/>
        </w:rPr>
      </w:pPr>
    </w:p>
    <w:p w14:paraId="17C46EDF" w14:textId="77777777" w:rsidR="00324840" w:rsidRPr="00324840" w:rsidRDefault="00324840" w:rsidP="00324840">
      <w:pPr>
        <w:spacing w:line="480" w:lineRule="auto"/>
        <w:rPr>
          <w:rFonts w:ascii="Times New Roman" w:hAnsi="Times New Roman" w:cs="Times New Roman"/>
          <w:b/>
          <w:bCs/>
          <w:sz w:val="24"/>
          <w:szCs w:val="24"/>
        </w:rPr>
      </w:pPr>
      <w:r w:rsidRPr="00324840">
        <w:rPr>
          <w:rFonts w:ascii="Times New Roman" w:hAnsi="Times New Roman" w:cs="Times New Roman"/>
          <w:b/>
          <w:bCs/>
          <w:sz w:val="24"/>
          <w:szCs w:val="24"/>
        </w:rPr>
        <w:t>S2.4 Growth and reproductive traits</w:t>
      </w:r>
    </w:p>
    <w:p w14:paraId="65DE27E4" w14:textId="5B3AC1E4" w:rsidR="00324840" w:rsidRDefault="00324840" w:rsidP="00324840">
      <w:pPr>
        <w:spacing w:line="480" w:lineRule="auto"/>
        <w:rPr>
          <w:rFonts w:ascii="Times New Roman" w:hAnsi="Times New Roman" w:cs="Times New Roman"/>
          <w:sz w:val="24"/>
          <w:szCs w:val="24"/>
        </w:rPr>
      </w:pPr>
      <w:r w:rsidRPr="00324840">
        <w:rPr>
          <w:rFonts w:ascii="Times New Roman" w:hAnsi="Times New Roman" w:cs="Times New Roman"/>
          <w:sz w:val="24"/>
          <w:szCs w:val="24"/>
        </w:rPr>
        <w:t xml:space="preserve">All floral and reproductive traits were recorded before destructive harvest to avoid interference with reproductive processes. Plant height was measured at maturity from the soil surface to the highest point of the plant. After recording reproductive traits, aboveground and belowground parts were harvested separately, treated at 105 °C for 30 min, then dried at 60°C for 72 h to constant weight. Root biomass, aboveground biomass, and total biomass were measured using an electronic balance with 0.001 g precision. The number of inflorescences, flower buds, fruits, and seeds was recorded </w:t>
      </w:r>
      <w:r w:rsidRPr="00324840">
        <w:rPr>
          <w:rFonts w:ascii="Times New Roman" w:hAnsi="Times New Roman" w:cs="Times New Roman"/>
          <w:sz w:val="24"/>
          <w:szCs w:val="24"/>
        </w:rPr>
        <w:lastRenderedPageBreak/>
        <w:t>for each plant.</w:t>
      </w:r>
    </w:p>
    <w:p w14:paraId="1E0259C6" w14:textId="77777777" w:rsidR="00324840" w:rsidRPr="00324840" w:rsidRDefault="00324840" w:rsidP="00324840">
      <w:pPr>
        <w:spacing w:line="480" w:lineRule="auto"/>
        <w:rPr>
          <w:rFonts w:ascii="Times New Roman" w:hAnsi="Times New Roman" w:cs="Times New Roman"/>
          <w:sz w:val="24"/>
          <w:szCs w:val="24"/>
        </w:rPr>
      </w:pPr>
    </w:p>
    <w:p w14:paraId="16AD4F97" w14:textId="77777777" w:rsidR="00324840" w:rsidRDefault="00324840" w:rsidP="00324840">
      <w:pPr>
        <w:spacing w:line="480" w:lineRule="auto"/>
        <w:rPr>
          <w:rFonts w:ascii="Times New Roman" w:hAnsi="Times New Roman" w:cs="Times New Roman"/>
          <w:sz w:val="24"/>
          <w:szCs w:val="24"/>
        </w:rPr>
      </w:pPr>
      <w:r w:rsidRPr="00324840">
        <w:rPr>
          <w:rFonts w:ascii="Times New Roman" w:hAnsi="Times New Roman" w:cs="Times New Roman"/>
          <w:sz w:val="24"/>
          <w:szCs w:val="24"/>
        </w:rPr>
        <w:t xml:space="preserve">For pollen quantity measurement, unopened flowers were collected from the same position on each plant, placed in 2 mL centrifuge tubes containing 1 mL 75% ethanol, thoroughly crushed, and mixed. A 20 </w:t>
      </w:r>
      <w:proofErr w:type="spellStart"/>
      <w:r w:rsidRPr="00324840">
        <w:rPr>
          <w:rFonts w:ascii="Times New Roman" w:hAnsi="Times New Roman" w:cs="Times New Roman"/>
          <w:sz w:val="24"/>
          <w:szCs w:val="24"/>
        </w:rPr>
        <w:t>μL</w:t>
      </w:r>
      <w:proofErr w:type="spellEnd"/>
      <w:r w:rsidRPr="00324840">
        <w:rPr>
          <w:rFonts w:ascii="Times New Roman" w:hAnsi="Times New Roman" w:cs="Times New Roman"/>
          <w:sz w:val="24"/>
          <w:szCs w:val="24"/>
        </w:rPr>
        <w:t xml:space="preserve"> pollen suspension was placed on a gridded slide and counted under a microscope. Each sample was counted 3 times and averaged. Pollen viability was determined by the MTT staining method. A 3% MTT working solution was prepared with 5% sucrose solution. Pollen was collected from freshly dehisced anthers of 2 to 5 newly opened flowers for staining. Stained pollen grains and total pollen grains were recorded under a microscope. Pollen viability (%) was calculated as stained pollen count divided by total pollen count × 100. Stigma receptivity was compared at full bloom using the hydrogen peroxide bubble method on newly opened flowers of uniform developmental status.</w:t>
      </w:r>
    </w:p>
    <w:p w14:paraId="7AAD847F" w14:textId="77777777" w:rsidR="00324840" w:rsidRPr="00324840" w:rsidRDefault="00324840" w:rsidP="00324840">
      <w:pPr>
        <w:spacing w:line="480" w:lineRule="auto"/>
        <w:rPr>
          <w:rFonts w:ascii="Times New Roman" w:hAnsi="Times New Roman" w:cs="Times New Roman"/>
          <w:sz w:val="24"/>
          <w:szCs w:val="24"/>
        </w:rPr>
      </w:pPr>
    </w:p>
    <w:p w14:paraId="11D30DB4" w14:textId="77777777" w:rsidR="00324840" w:rsidRPr="00324840" w:rsidRDefault="00324840" w:rsidP="00324840">
      <w:pPr>
        <w:spacing w:line="480" w:lineRule="auto"/>
        <w:rPr>
          <w:rFonts w:ascii="Times New Roman" w:hAnsi="Times New Roman" w:cs="Times New Roman"/>
          <w:b/>
          <w:bCs/>
          <w:sz w:val="24"/>
          <w:szCs w:val="24"/>
        </w:rPr>
      </w:pPr>
      <w:r w:rsidRPr="00324840">
        <w:rPr>
          <w:rFonts w:ascii="Times New Roman" w:hAnsi="Times New Roman" w:cs="Times New Roman"/>
          <w:b/>
          <w:bCs/>
          <w:sz w:val="24"/>
          <w:szCs w:val="24"/>
        </w:rPr>
        <w:t>S2.5 Nectar and pollen collection</w:t>
      </w:r>
    </w:p>
    <w:p w14:paraId="68C16E8E" w14:textId="77777777" w:rsidR="00324840" w:rsidRDefault="00324840" w:rsidP="00324840">
      <w:pPr>
        <w:spacing w:line="480" w:lineRule="auto"/>
        <w:rPr>
          <w:rFonts w:ascii="Times New Roman" w:hAnsi="Times New Roman" w:cs="Times New Roman"/>
          <w:sz w:val="24"/>
          <w:szCs w:val="24"/>
        </w:rPr>
      </w:pPr>
      <w:r w:rsidRPr="00324840">
        <w:rPr>
          <w:rFonts w:ascii="Times New Roman" w:hAnsi="Times New Roman" w:cs="Times New Roman"/>
          <w:sz w:val="24"/>
          <w:szCs w:val="24"/>
        </w:rPr>
        <w:t xml:space="preserve">To minimize nectar consumption by natural flower visitors, inflorescences to be sampled were bagged with fine mesh before flower opening. Nectar and pollen of both species were collected at their respective full bloom stages, maintaining the same daily sampling time and operational procedures. Nectar was collected at approximately 16:00 daily during full bloom. Nectar from 3 flowers per plant was collected using microcapillaries. Nectar volume was calculated by measuring the liquid column length in the capillary. After recording nectar volume, nectar from flowers opened on the same </w:t>
      </w:r>
      <w:r w:rsidRPr="00324840">
        <w:rPr>
          <w:rFonts w:ascii="Times New Roman" w:hAnsi="Times New Roman" w:cs="Times New Roman"/>
          <w:sz w:val="24"/>
          <w:szCs w:val="24"/>
        </w:rPr>
        <w:lastRenderedPageBreak/>
        <w:t>day on the same plant was collected for sugar concentration and Cd determination, transferred to 2 mL centrifuge tubes, and stored at -20 °C.</w:t>
      </w:r>
    </w:p>
    <w:p w14:paraId="19BF2C2B" w14:textId="77777777" w:rsidR="00324840" w:rsidRPr="00324840" w:rsidRDefault="00324840" w:rsidP="00324840">
      <w:pPr>
        <w:spacing w:line="480" w:lineRule="auto"/>
        <w:rPr>
          <w:rFonts w:ascii="Times New Roman" w:hAnsi="Times New Roman" w:cs="Times New Roman"/>
          <w:sz w:val="24"/>
          <w:szCs w:val="24"/>
        </w:rPr>
      </w:pPr>
    </w:p>
    <w:p w14:paraId="5FBB3851" w14:textId="77777777" w:rsidR="00324840" w:rsidRDefault="00324840" w:rsidP="00324840">
      <w:pPr>
        <w:spacing w:line="480" w:lineRule="auto"/>
        <w:rPr>
          <w:rFonts w:ascii="Times New Roman" w:hAnsi="Times New Roman" w:cs="Times New Roman"/>
          <w:sz w:val="24"/>
          <w:szCs w:val="24"/>
        </w:rPr>
      </w:pPr>
      <w:r w:rsidRPr="00324840">
        <w:rPr>
          <w:rFonts w:ascii="Times New Roman" w:hAnsi="Times New Roman" w:cs="Times New Roman"/>
          <w:sz w:val="24"/>
          <w:szCs w:val="24"/>
        </w:rPr>
        <w:t>Pollen was collected immediately after nectar collection. Fully opened flowers with freshly dehisced anthers were placed in 50 mL centrifuge tubes. An appropriate amount of ethyl acetate was added, vortexed for 1 min to dislodge pollen, allowed to stand for 1 min, and floral tissues were removed. The pollen suspension was transferred to 2 mL centrifuge tubes, centrifuged at 6,000 rpm for 6 min, the supernatant discarded, and residual ethyl acetate allowed to evaporate completely before storage at 4 °C. For each treatment, approximately 0.5 to 1.0 g pollen was pooled from about 10 plants for subsequent Cd determination and bee feeding trials.</w:t>
      </w:r>
    </w:p>
    <w:p w14:paraId="7A418D07" w14:textId="77777777" w:rsidR="00324840" w:rsidRPr="00324840" w:rsidRDefault="00324840" w:rsidP="00324840">
      <w:pPr>
        <w:spacing w:line="480" w:lineRule="auto"/>
        <w:rPr>
          <w:rFonts w:ascii="Times New Roman" w:hAnsi="Times New Roman" w:cs="Times New Roman"/>
          <w:sz w:val="24"/>
          <w:szCs w:val="24"/>
        </w:rPr>
      </w:pPr>
    </w:p>
    <w:p w14:paraId="2C6C697F" w14:textId="77777777" w:rsidR="00324840" w:rsidRPr="00324840" w:rsidRDefault="00324840" w:rsidP="00324840">
      <w:pPr>
        <w:spacing w:line="480" w:lineRule="auto"/>
        <w:rPr>
          <w:rFonts w:ascii="Times New Roman" w:hAnsi="Times New Roman" w:cs="Times New Roman"/>
          <w:b/>
          <w:bCs/>
          <w:sz w:val="24"/>
          <w:szCs w:val="24"/>
        </w:rPr>
      </w:pPr>
      <w:r w:rsidRPr="00324840">
        <w:rPr>
          <w:rFonts w:ascii="Times New Roman" w:hAnsi="Times New Roman" w:cs="Times New Roman"/>
          <w:b/>
          <w:bCs/>
          <w:sz w:val="24"/>
          <w:szCs w:val="24"/>
        </w:rPr>
        <w:t>S2.6 Plant tissue Cd determination and translocation factor</w:t>
      </w:r>
    </w:p>
    <w:p w14:paraId="56180075" w14:textId="77777777" w:rsidR="00324840" w:rsidRDefault="00324840" w:rsidP="00324840">
      <w:pPr>
        <w:spacing w:line="480" w:lineRule="auto"/>
        <w:rPr>
          <w:rFonts w:ascii="Times New Roman" w:hAnsi="Times New Roman" w:cs="Times New Roman"/>
          <w:sz w:val="24"/>
          <w:szCs w:val="24"/>
        </w:rPr>
      </w:pPr>
      <w:r w:rsidRPr="00324840">
        <w:rPr>
          <w:rFonts w:ascii="Times New Roman" w:hAnsi="Times New Roman" w:cs="Times New Roman"/>
          <w:sz w:val="24"/>
          <w:szCs w:val="24"/>
        </w:rPr>
        <w:t xml:space="preserve">Roots, leaves, flowers, pollen, and nectar were collected for Cd determination. Root, leaf, and flower tissues were dried, ground, and appropriate samples were microwave digested with concentrated nitric acid. Pollen and nectar samples were recorded for mass or volume before digestion. Then 500 </w:t>
      </w:r>
      <w:proofErr w:type="spellStart"/>
      <w:r w:rsidRPr="00324840">
        <w:rPr>
          <w:rFonts w:ascii="Times New Roman" w:hAnsi="Times New Roman" w:cs="Times New Roman"/>
          <w:sz w:val="24"/>
          <w:szCs w:val="24"/>
        </w:rPr>
        <w:t>μL</w:t>
      </w:r>
      <w:proofErr w:type="spellEnd"/>
      <w:r w:rsidRPr="00324840">
        <w:rPr>
          <w:rFonts w:ascii="Times New Roman" w:hAnsi="Times New Roman" w:cs="Times New Roman"/>
          <w:sz w:val="24"/>
          <w:szCs w:val="24"/>
        </w:rPr>
        <w:t xml:space="preserve"> ultrapure water and 5 mL concentrated nitric acid were added for microwave digestion. After digestion, samples were cooled to room temperature, transferred to 25 mL volumetric flasks, and brought to volume with ultrapure water. Cd concentrations were determined using inductively coupled plasma mass spectrometry (ICP-MS; </w:t>
      </w:r>
      <w:proofErr w:type="spellStart"/>
      <w:r w:rsidRPr="00324840">
        <w:rPr>
          <w:rFonts w:ascii="Times New Roman" w:hAnsi="Times New Roman" w:cs="Times New Roman"/>
          <w:sz w:val="24"/>
          <w:szCs w:val="24"/>
        </w:rPr>
        <w:t>NexION</w:t>
      </w:r>
      <w:proofErr w:type="spellEnd"/>
      <w:r w:rsidRPr="00324840">
        <w:rPr>
          <w:rFonts w:ascii="Times New Roman" w:hAnsi="Times New Roman" w:cs="Times New Roman"/>
          <w:sz w:val="24"/>
          <w:szCs w:val="24"/>
        </w:rPr>
        <w:t xml:space="preserve"> 2000, PerkinElmer, USA). Leaf-to-root translocation factor was calculated as TF = </w:t>
      </w:r>
      <w:proofErr w:type="spellStart"/>
      <w:r w:rsidRPr="00324840">
        <w:rPr>
          <w:rFonts w:ascii="Times New Roman" w:hAnsi="Times New Roman" w:cs="Times New Roman"/>
          <w:sz w:val="24"/>
          <w:szCs w:val="24"/>
        </w:rPr>
        <w:t>C_leaf</w:t>
      </w:r>
      <w:proofErr w:type="spellEnd"/>
      <w:r w:rsidRPr="00324840">
        <w:rPr>
          <w:rFonts w:ascii="Times New Roman" w:hAnsi="Times New Roman" w:cs="Times New Roman"/>
          <w:sz w:val="24"/>
          <w:szCs w:val="24"/>
        </w:rPr>
        <w:t>/</w:t>
      </w:r>
      <w:proofErr w:type="spellStart"/>
      <w:r w:rsidRPr="00324840">
        <w:rPr>
          <w:rFonts w:ascii="Times New Roman" w:hAnsi="Times New Roman" w:cs="Times New Roman"/>
          <w:sz w:val="24"/>
          <w:szCs w:val="24"/>
        </w:rPr>
        <w:t>C_root</w:t>
      </w:r>
      <w:proofErr w:type="spellEnd"/>
      <w:r w:rsidRPr="00324840">
        <w:rPr>
          <w:rFonts w:ascii="Times New Roman" w:hAnsi="Times New Roman" w:cs="Times New Roman"/>
          <w:sz w:val="24"/>
          <w:szCs w:val="24"/>
        </w:rPr>
        <w:t xml:space="preserve"> (Chen et al., 2025).</w:t>
      </w:r>
    </w:p>
    <w:p w14:paraId="12C31E59" w14:textId="77777777" w:rsidR="00324840" w:rsidRPr="00324840" w:rsidRDefault="00324840" w:rsidP="00324840">
      <w:pPr>
        <w:spacing w:line="480" w:lineRule="auto"/>
        <w:rPr>
          <w:rFonts w:ascii="Times New Roman" w:hAnsi="Times New Roman" w:cs="Times New Roman"/>
          <w:sz w:val="24"/>
          <w:szCs w:val="24"/>
        </w:rPr>
      </w:pPr>
    </w:p>
    <w:p w14:paraId="71D661BE" w14:textId="77777777" w:rsidR="00324840" w:rsidRPr="00324840" w:rsidRDefault="00324840" w:rsidP="00324840">
      <w:pPr>
        <w:spacing w:line="480" w:lineRule="auto"/>
        <w:rPr>
          <w:rFonts w:ascii="Times New Roman" w:hAnsi="Times New Roman" w:cs="Times New Roman"/>
          <w:b/>
          <w:bCs/>
          <w:sz w:val="24"/>
          <w:szCs w:val="24"/>
        </w:rPr>
      </w:pPr>
      <w:r w:rsidRPr="00324840">
        <w:rPr>
          <w:rFonts w:ascii="Times New Roman" w:hAnsi="Times New Roman" w:cs="Times New Roman"/>
          <w:b/>
          <w:bCs/>
          <w:sz w:val="24"/>
          <w:szCs w:val="24"/>
        </w:rPr>
        <w:t>S2.7 Apis cerana materials and flower visitation observations</w:t>
      </w:r>
    </w:p>
    <w:p w14:paraId="48709CAD" w14:textId="77777777" w:rsidR="00324840" w:rsidRPr="00324840" w:rsidRDefault="00324840" w:rsidP="00324840">
      <w:pPr>
        <w:spacing w:line="480" w:lineRule="auto"/>
        <w:rPr>
          <w:rFonts w:ascii="Times New Roman" w:hAnsi="Times New Roman" w:cs="Times New Roman"/>
          <w:sz w:val="24"/>
          <w:szCs w:val="24"/>
        </w:rPr>
      </w:pPr>
      <w:r w:rsidRPr="00324840">
        <w:rPr>
          <w:rFonts w:ascii="Times New Roman" w:hAnsi="Times New Roman" w:cs="Times New Roman"/>
          <w:i/>
          <w:iCs/>
          <w:sz w:val="24"/>
          <w:szCs w:val="24"/>
        </w:rPr>
        <w:t>A. cerana</w:t>
      </w:r>
      <w:r w:rsidRPr="00324840">
        <w:rPr>
          <w:rFonts w:ascii="Times New Roman" w:hAnsi="Times New Roman" w:cs="Times New Roman"/>
          <w:sz w:val="24"/>
          <w:szCs w:val="24"/>
        </w:rPr>
        <w:t xml:space="preserve"> colonies were purchased from Dayao County, </w:t>
      </w:r>
      <w:proofErr w:type="spellStart"/>
      <w:r w:rsidRPr="00324840">
        <w:rPr>
          <w:rFonts w:ascii="Times New Roman" w:hAnsi="Times New Roman" w:cs="Times New Roman"/>
          <w:sz w:val="24"/>
          <w:szCs w:val="24"/>
        </w:rPr>
        <w:t>Chuxiong</w:t>
      </w:r>
      <w:proofErr w:type="spellEnd"/>
      <w:r w:rsidRPr="00324840">
        <w:rPr>
          <w:rFonts w:ascii="Times New Roman" w:hAnsi="Times New Roman" w:cs="Times New Roman"/>
          <w:sz w:val="24"/>
          <w:szCs w:val="24"/>
        </w:rPr>
        <w:t xml:space="preserve"> Yi Autonomous Prefecture, Yunnan Province. All were healthy 6 to 8 frame medium strength colonies, with hive box dimensions of approximately 450 × 450 × 330 mm. Before the experiment, hives were placed in a shaded area outside the greenhouse for 1 week to acclimatize and allow natural foraging. Worker bees used for visitation and subsequent feeding trials were randomly captured from healthy colonies. Because worker bee emergence age was not marked, experiments reflect responses of mixed age workers.</w:t>
      </w:r>
    </w:p>
    <w:p w14:paraId="23376CFF" w14:textId="77777777" w:rsidR="00324840" w:rsidRDefault="00324840" w:rsidP="00324840">
      <w:pPr>
        <w:spacing w:line="480" w:lineRule="auto"/>
        <w:rPr>
          <w:rFonts w:ascii="Times New Roman" w:hAnsi="Times New Roman" w:cs="Times New Roman"/>
          <w:sz w:val="24"/>
          <w:szCs w:val="24"/>
        </w:rPr>
      </w:pPr>
      <w:r w:rsidRPr="00324840">
        <w:rPr>
          <w:rFonts w:ascii="Times New Roman" w:hAnsi="Times New Roman" w:cs="Times New Roman"/>
          <w:sz w:val="24"/>
          <w:szCs w:val="24"/>
        </w:rPr>
        <w:t>Visitation observations were conducted in an open area near the Rose Garden of Yunnan University. The two plant species were alternately arranged with 0.5 m spacing. The hive was approximately 1 m from the plant array, and no other obvious competing floral resources were present in the observation area. During full bloom, on 6 sunny days with no significant wind, worker bee visitation frequency was recorded within the 14:00 to 17:00 time window using 30 min observation units. Cumulative effective observation time was 720 min, and visitation frequency per unit time was calculated. Because this observation did not control worker bee age, did not mark individual workers, and was not a strictly controlled two choice experiment, results are only used to describe visitation interactions between the two </w:t>
      </w:r>
      <w:r w:rsidRPr="00324840">
        <w:rPr>
          <w:rFonts w:ascii="Times New Roman" w:hAnsi="Times New Roman" w:cs="Times New Roman"/>
          <w:i/>
          <w:iCs/>
          <w:sz w:val="24"/>
          <w:szCs w:val="24"/>
        </w:rPr>
        <w:t>Phytolacca</w:t>
      </w:r>
      <w:r w:rsidRPr="00324840">
        <w:rPr>
          <w:rFonts w:ascii="Times New Roman" w:hAnsi="Times New Roman" w:cs="Times New Roman"/>
          <w:sz w:val="24"/>
          <w:szCs w:val="24"/>
        </w:rPr>
        <w:t> species and </w:t>
      </w:r>
      <w:r w:rsidRPr="00324840">
        <w:rPr>
          <w:rFonts w:ascii="Times New Roman" w:hAnsi="Times New Roman" w:cs="Times New Roman"/>
          <w:i/>
          <w:iCs/>
          <w:sz w:val="24"/>
          <w:szCs w:val="24"/>
        </w:rPr>
        <w:t>A. cerana</w:t>
      </w:r>
      <w:r w:rsidRPr="00324840">
        <w:rPr>
          <w:rFonts w:ascii="Times New Roman" w:hAnsi="Times New Roman" w:cs="Times New Roman"/>
          <w:sz w:val="24"/>
          <w:szCs w:val="24"/>
        </w:rPr>
        <w:t>, and are not used to infer strict behavioral preferences.</w:t>
      </w:r>
    </w:p>
    <w:p w14:paraId="18C616E5" w14:textId="77777777" w:rsidR="00324840" w:rsidRPr="00324840" w:rsidRDefault="00324840" w:rsidP="00324840">
      <w:pPr>
        <w:spacing w:line="480" w:lineRule="auto"/>
        <w:rPr>
          <w:rFonts w:ascii="Times New Roman" w:hAnsi="Times New Roman" w:cs="Times New Roman"/>
          <w:sz w:val="24"/>
          <w:szCs w:val="24"/>
        </w:rPr>
      </w:pPr>
    </w:p>
    <w:p w14:paraId="205D2571" w14:textId="77777777" w:rsidR="00324840" w:rsidRPr="00324840" w:rsidRDefault="00324840" w:rsidP="00324840">
      <w:pPr>
        <w:spacing w:line="480" w:lineRule="auto"/>
        <w:rPr>
          <w:rFonts w:ascii="Times New Roman" w:hAnsi="Times New Roman" w:cs="Times New Roman"/>
          <w:b/>
          <w:bCs/>
          <w:sz w:val="24"/>
          <w:szCs w:val="24"/>
        </w:rPr>
      </w:pPr>
      <w:r w:rsidRPr="00324840">
        <w:rPr>
          <w:rFonts w:ascii="Times New Roman" w:hAnsi="Times New Roman" w:cs="Times New Roman"/>
          <w:b/>
          <w:bCs/>
          <w:sz w:val="24"/>
          <w:szCs w:val="24"/>
        </w:rPr>
        <w:t>S2.8 Cd stable isotope labeling and plant to bee transfer experiment</w:t>
      </w:r>
    </w:p>
    <w:p w14:paraId="3072195F" w14:textId="77777777" w:rsidR="00324840" w:rsidRDefault="00324840" w:rsidP="00324840">
      <w:pPr>
        <w:spacing w:line="480" w:lineRule="auto"/>
        <w:rPr>
          <w:rFonts w:ascii="Times New Roman" w:hAnsi="Times New Roman" w:cs="Times New Roman"/>
          <w:sz w:val="24"/>
          <w:szCs w:val="24"/>
        </w:rPr>
      </w:pPr>
      <w:r w:rsidRPr="00324840">
        <w:rPr>
          <w:rFonts w:ascii="Times New Roman" w:hAnsi="Times New Roman" w:cs="Times New Roman"/>
          <w:sz w:val="24"/>
          <w:szCs w:val="24"/>
        </w:rPr>
        <w:lastRenderedPageBreak/>
        <w:t>To directly track plant-derived Cd transfer to </w:t>
      </w:r>
      <w:r w:rsidRPr="00324840">
        <w:rPr>
          <w:rFonts w:ascii="Times New Roman" w:hAnsi="Times New Roman" w:cs="Times New Roman"/>
          <w:i/>
          <w:iCs/>
          <w:sz w:val="24"/>
          <w:szCs w:val="24"/>
        </w:rPr>
        <w:t>A. cerana</w:t>
      </w:r>
      <w:r w:rsidRPr="00324840">
        <w:rPr>
          <w:rFonts w:ascii="Times New Roman" w:hAnsi="Times New Roman" w:cs="Times New Roman"/>
          <w:sz w:val="24"/>
          <w:szCs w:val="24"/>
        </w:rPr>
        <w:t>, a separate stable isotope labeling experiment was conducted. ¹¹¹Cd and ¹¹³Cd enriched isotope reagents were purchased from ISOFLEX (USA), with enrichment &gt;96%. When plants reached 4 to 5 true leaves, root zone soil was labeled with Cd stable isotopes. </w:t>
      </w:r>
      <w:r w:rsidRPr="00324840">
        <w:rPr>
          <w:rFonts w:ascii="Times New Roman" w:hAnsi="Times New Roman" w:cs="Times New Roman"/>
          <w:i/>
          <w:iCs/>
          <w:sz w:val="24"/>
          <w:szCs w:val="24"/>
        </w:rPr>
        <w:t>P. americana</w:t>
      </w:r>
      <w:r w:rsidRPr="00324840">
        <w:rPr>
          <w:rFonts w:ascii="Times New Roman" w:hAnsi="Times New Roman" w:cs="Times New Roman"/>
          <w:sz w:val="24"/>
          <w:szCs w:val="24"/>
        </w:rPr>
        <w:t> was labeled with ¹¹¹Cd and </w:t>
      </w:r>
      <w:r w:rsidRPr="00324840">
        <w:rPr>
          <w:rFonts w:ascii="Times New Roman" w:hAnsi="Times New Roman" w:cs="Times New Roman"/>
          <w:i/>
          <w:iCs/>
          <w:sz w:val="24"/>
          <w:szCs w:val="24"/>
        </w:rPr>
        <w:t xml:space="preserve">P. </w:t>
      </w:r>
      <w:proofErr w:type="spellStart"/>
      <w:r w:rsidRPr="00324840">
        <w:rPr>
          <w:rFonts w:ascii="Times New Roman" w:hAnsi="Times New Roman" w:cs="Times New Roman"/>
          <w:i/>
          <w:iCs/>
          <w:sz w:val="24"/>
          <w:szCs w:val="24"/>
        </w:rPr>
        <w:t>acinosa</w:t>
      </w:r>
      <w:proofErr w:type="spellEnd"/>
      <w:r w:rsidRPr="00324840">
        <w:rPr>
          <w:rFonts w:ascii="Times New Roman" w:hAnsi="Times New Roman" w:cs="Times New Roman"/>
          <w:sz w:val="24"/>
          <w:szCs w:val="24"/>
        </w:rPr>
        <w:t> with ¹¹³Cd. Total Cd addition was 10 mg kg⁻¹, with enriched stable isotopes accounting for approximately 30% of total Cd. Plants continued to grow until full bloom. Each isotope plant treatment had 20 pots, totaling 40 pots.</w:t>
      </w:r>
    </w:p>
    <w:p w14:paraId="1C860A84" w14:textId="77777777" w:rsidR="00324840" w:rsidRPr="00324840" w:rsidRDefault="00324840" w:rsidP="00324840">
      <w:pPr>
        <w:spacing w:line="480" w:lineRule="auto"/>
        <w:rPr>
          <w:rFonts w:ascii="Times New Roman" w:hAnsi="Times New Roman" w:cs="Times New Roman"/>
          <w:sz w:val="24"/>
          <w:szCs w:val="24"/>
        </w:rPr>
      </w:pPr>
    </w:p>
    <w:p w14:paraId="244429A1" w14:textId="77777777" w:rsidR="00324840" w:rsidRDefault="00324840" w:rsidP="00324840">
      <w:pPr>
        <w:spacing w:line="480" w:lineRule="auto"/>
        <w:rPr>
          <w:rFonts w:ascii="Times New Roman" w:hAnsi="Times New Roman" w:cs="Times New Roman"/>
          <w:sz w:val="24"/>
          <w:szCs w:val="24"/>
        </w:rPr>
      </w:pPr>
      <w:r w:rsidRPr="00324840">
        <w:rPr>
          <w:rFonts w:ascii="Times New Roman" w:hAnsi="Times New Roman" w:cs="Times New Roman"/>
          <w:sz w:val="24"/>
          <w:szCs w:val="24"/>
        </w:rPr>
        <w:t>Pollen from ¹¹¹Cd labeled </w:t>
      </w:r>
      <w:r w:rsidRPr="00324840">
        <w:rPr>
          <w:rFonts w:ascii="Times New Roman" w:hAnsi="Times New Roman" w:cs="Times New Roman"/>
          <w:i/>
          <w:iCs/>
          <w:sz w:val="24"/>
          <w:szCs w:val="24"/>
        </w:rPr>
        <w:t>P. americana</w:t>
      </w:r>
      <w:r w:rsidRPr="00324840">
        <w:rPr>
          <w:rFonts w:ascii="Times New Roman" w:hAnsi="Times New Roman" w:cs="Times New Roman"/>
          <w:sz w:val="24"/>
          <w:szCs w:val="24"/>
        </w:rPr>
        <w:t> and ¹¹³Cd labeled </w:t>
      </w:r>
      <w:r w:rsidRPr="00324840">
        <w:rPr>
          <w:rFonts w:ascii="Times New Roman" w:hAnsi="Times New Roman" w:cs="Times New Roman"/>
          <w:i/>
          <w:iCs/>
          <w:sz w:val="24"/>
          <w:szCs w:val="24"/>
        </w:rPr>
        <w:t xml:space="preserve">P. </w:t>
      </w:r>
      <w:proofErr w:type="spellStart"/>
      <w:r w:rsidRPr="00324840">
        <w:rPr>
          <w:rFonts w:ascii="Times New Roman" w:hAnsi="Times New Roman" w:cs="Times New Roman"/>
          <w:i/>
          <w:iCs/>
          <w:sz w:val="24"/>
          <w:szCs w:val="24"/>
        </w:rPr>
        <w:t>acinosa</w:t>
      </w:r>
      <w:proofErr w:type="spellEnd"/>
      <w:r w:rsidRPr="00324840">
        <w:rPr>
          <w:rFonts w:ascii="Times New Roman" w:hAnsi="Times New Roman" w:cs="Times New Roman"/>
          <w:sz w:val="24"/>
          <w:szCs w:val="24"/>
        </w:rPr>
        <w:t xml:space="preserve"> was collected separately and mixed with 50% sterile sucrose solution at </w:t>
      </w:r>
      <w:proofErr w:type="spellStart"/>
      <w:proofErr w:type="gramStart"/>
      <w:r w:rsidRPr="00324840">
        <w:rPr>
          <w:rFonts w:ascii="Times New Roman" w:hAnsi="Times New Roman" w:cs="Times New Roman"/>
          <w:sz w:val="24"/>
          <w:szCs w:val="24"/>
        </w:rPr>
        <w:t>pollen:solution</w:t>
      </w:r>
      <w:proofErr w:type="spellEnd"/>
      <w:proofErr w:type="gramEnd"/>
      <w:r w:rsidRPr="00324840">
        <w:rPr>
          <w:rFonts w:ascii="Times New Roman" w:hAnsi="Times New Roman" w:cs="Times New Roman"/>
          <w:sz w:val="24"/>
          <w:szCs w:val="24"/>
        </w:rPr>
        <w:t xml:space="preserve"> = 1:10 (w/v). A total of 180 </w:t>
      </w:r>
      <w:r w:rsidRPr="00324840">
        <w:rPr>
          <w:rFonts w:ascii="Times New Roman" w:hAnsi="Times New Roman" w:cs="Times New Roman"/>
          <w:i/>
          <w:iCs/>
          <w:sz w:val="24"/>
          <w:szCs w:val="24"/>
        </w:rPr>
        <w:t>A. cerana</w:t>
      </w:r>
      <w:r w:rsidRPr="00324840">
        <w:rPr>
          <w:rFonts w:ascii="Times New Roman" w:hAnsi="Times New Roman" w:cs="Times New Roman"/>
          <w:sz w:val="24"/>
          <w:szCs w:val="24"/>
        </w:rPr>
        <w:t> worker bees were randomly captured and divided into 6 groups of 30 bees each. Three groups fed on ¹¹¹Cd labeled </w:t>
      </w:r>
      <w:r w:rsidRPr="00324840">
        <w:rPr>
          <w:rFonts w:ascii="Times New Roman" w:hAnsi="Times New Roman" w:cs="Times New Roman"/>
          <w:i/>
          <w:iCs/>
          <w:sz w:val="24"/>
          <w:szCs w:val="24"/>
        </w:rPr>
        <w:t>P. americana</w:t>
      </w:r>
      <w:r w:rsidRPr="00324840">
        <w:rPr>
          <w:rFonts w:ascii="Times New Roman" w:hAnsi="Times New Roman" w:cs="Times New Roman"/>
          <w:sz w:val="24"/>
          <w:szCs w:val="24"/>
        </w:rPr>
        <w:t> pollen sucrose solution, and the other three groups fed on ¹¹³Cd labeled </w:t>
      </w:r>
      <w:r w:rsidRPr="00324840">
        <w:rPr>
          <w:rFonts w:ascii="Times New Roman" w:hAnsi="Times New Roman" w:cs="Times New Roman"/>
          <w:i/>
          <w:iCs/>
          <w:sz w:val="24"/>
          <w:szCs w:val="24"/>
        </w:rPr>
        <w:t xml:space="preserve">P. </w:t>
      </w:r>
      <w:proofErr w:type="spellStart"/>
      <w:r w:rsidRPr="00324840">
        <w:rPr>
          <w:rFonts w:ascii="Times New Roman" w:hAnsi="Times New Roman" w:cs="Times New Roman"/>
          <w:i/>
          <w:iCs/>
          <w:sz w:val="24"/>
          <w:szCs w:val="24"/>
        </w:rPr>
        <w:t>acinosa</w:t>
      </w:r>
      <w:proofErr w:type="spellEnd"/>
      <w:r w:rsidRPr="00324840">
        <w:rPr>
          <w:rFonts w:ascii="Times New Roman" w:hAnsi="Times New Roman" w:cs="Times New Roman"/>
          <w:sz w:val="24"/>
          <w:szCs w:val="24"/>
        </w:rPr>
        <w:t> pollen sucrose solution. Worker bees were kept in a dark incubator at 35 ± 1 °C and 50 ± 5% relative humidity, with fresh pollen sucrose solution replaced every 24 h, for 7 consecutive days. After the experiment, surviving worker bees were collected, freeze dried for 48 h, digested, and ¹¹¹Cd and ¹¹³Cd contents were determined by ICP-MS.</w:t>
      </w:r>
    </w:p>
    <w:p w14:paraId="14C431B6" w14:textId="77777777" w:rsidR="00324840" w:rsidRPr="00324840" w:rsidRDefault="00324840" w:rsidP="00324840">
      <w:pPr>
        <w:spacing w:line="480" w:lineRule="auto"/>
        <w:rPr>
          <w:rFonts w:ascii="Times New Roman" w:hAnsi="Times New Roman" w:cs="Times New Roman"/>
          <w:sz w:val="24"/>
          <w:szCs w:val="24"/>
        </w:rPr>
      </w:pPr>
    </w:p>
    <w:p w14:paraId="65FDD057" w14:textId="77777777" w:rsidR="00324840" w:rsidRPr="00324840" w:rsidRDefault="00324840" w:rsidP="00324840">
      <w:pPr>
        <w:spacing w:line="480" w:lineRule="auto"/>
        <w:rPr>
          <w:rFonts w:ascii="Times New Roman" w:hAnsi="Times New Roman" w:cs="Times New Roman"/>
          <w:b/>
          <w:bCs/>
          <w:sz w:val="24"/>
          <w:szCs w:val="24"/>
        </w:rPr>
      </w:pPr>
      <w:r w:rsidRPr="00324840">
        <w:rPr>
          <w:rFonts w:ascii="Times New Roman" w:hAnsi="Times New Roman" w:cs="Times New Roman"/>
          <w:b/>
          <w:bCs/>
          <w:sz w:val="24"/>
          <w:szCs w:val="24"/>
        </w:rPr>
        <w:t>S2.9 Independent Cd oral exposure experiment</w:t>
      </w:r>
    </w:p>
    <w:p w14:paraId="552E850D" w14:textId="153E7256" w:rsidR="00324840" w:rsidRDefault="00324840" w:rsidP="00324840">
      <w:pPr>
        <w:spacing w:line="480" w:lineRule="auto"/>
        <w:rPr>
          <w:rFonts w:ascii="Times New Roman" w:hAnsi="Times New Roman" w:cs="Times New Roman"/>
          <w:sz w:val="24"/>
          <w:szCs w:val="24"/>
        </w:rPr>
      </w:pPr>
      <w:r w:rsidRPr="00324840">
        <w:rPr>
          <w:rFonts w:ascii="Times New Roman" w:hAnsi="Times New Roman" w:cs="Times New Roman"/>
          <w:sz w:val="24"/>
          <w:szCs w:val="24"/>
        </w:rPr>
        <w:t>To evaluate the potential hazards of Cd exposure itself to </w:t>
      </w:r>
      <w:r w:rsidRPr="00324840">
        <w:rPr>
          <w:rFonts w:ascii="Times New Roman" w:hAnsi="Times New Roman" w:cs="Times New Roman"/>
          <w:i/>
          <w:iCs/>
          <w:sz w:val="24"/>
          <w:szCs w:val="24"/>
        </w:rPr>
        <w:t>A. cerana</w:t>
      </w:r>
      <w:r w:rsidRPr="00324840">
        <w:rPr>
          <w:rFonts w:ascii="Times New Roman" w:hAnsi="Times New Roman" w:cs="Times New Roman"/>
          <w:sz w:val="24"/>
          <w:szCs w:val="24"/>
        </w:rPr>
        <w:t xml:space="preserve">, an independent artificial oral exposure experiment was conducted. This experiment was independent </w:t>
      </w:r>
      <w:r w:rsidRPr="00324840">
        <w:rPr>
          <w:rFonts w:ascii="Times New Roman" w:hAnsi="Times New Roman" w:cs="Times New Roman"/>
          <w:sz w:val="24"/>
          <w:szCs w:val="24"/>
        </w:rPr>
        <w:lastRenderedPageBreak/>
        <w:t xml:space="preserve">of the stable isotope pollen feeding trial. The dose of 3 mg Cd L⁻¹ was used only as an experimental dose to evaluate potential biological hazards of Cd, and was not intended to simulate actual Cd exposure levels in plant pollen or nectar. A total of 180 worker bees were randomly captured and divided into 6 groups of 30 bees each. Three groups served as controls, feeding on 50% sterile sucrose solution without Cd. Three groups were Cd treated, feeding on 50% sterile sucrose solution containing 3 mg L⁻¹ Cd, with Cd prepared as </w:t>
      </w:r>
      <w:proofErr w:type="spellStart"/>
      <w:r w:rsidRPr="00324840">
        <w:rPr>
          <w:rFonts w:ascii="Times New Roman" w:hAnsi="Times New Roman" w:cs="Times New Roman"/>
          <w:sz w:val="24"/>
          <w:szCs w:val="24"/>
        </w:rPr>
        <w:t>CdCl</w:t>
      </w:r>
      <w:proofErr w:type="spellEnd"/>
      <w:r w:rsidRPr="00324840">
        <w:rPr>
          <w:rFonts w:ascii="Times New Roman" w:hAnsi="Times New Roman" w:cs="Times New Roman"/>
          <w:sz w:val="24"/>
          <w:szCs w:val="24"/>
        </w:rPr>
        <w:t>₂. All groups were kept in a dark incubator at 35 ± 1°C and 50 ± 5% relative humidity for 7 consecutive days, with fresh solution replaced every 24 h, and mortality recorded.</w:t>
      </w:r>
    </w:p>
    <w:p w14:paraId="18FF4D20" w14:textId="77777777" w:rsidR="00324840" w:rsidRPr="00324840" w:rsidRDefault="00324840" w:rsidP="00324840">
      <w:pPr>
        <w:spacing w:line="480" w:lineRule="auto"/>
        <w:rPr>
          <w:rFonts w:ascii="Times New Roman" w:hAnsi="Times New Roman" w:cs="Times New Roman"/>
          <w:sz w:val="24"/>
          <w:szCs w:val="24"/>
        </w:rPr>
      </w:pPr>
    </w:p>
    <w:p w14:paraId="74B32FB1" w14:textId="77777777" w:rsidR="00324840" w:rsidRPr="00324840" w:rsidRDefault="00324840" w:rsidP="00324840">
      <w:pPr>
        <w:spacing w:line="480" w:lineRule="auto"/>
        <w:rPr>
          <w:rFonts w:ascii="Times New Roman" w:hAnsi="Times New Roman" w:cs="Times New Roman"/>
          <w:b/>
          <w:bCs/>
          <w:sz w:val="24"/>
          <w:szCs w:val="24"/>
        </w:rPr>
      </w:pPr>
      <w:r w:rsidRPr="00324840">
        <w:rPr>
          <w:rFonts w:ascii="Times New Roman" w:hAnsi="Times New Roman" w:cs="Times New Roman"/>
          <w:b/>
          <w:bCs/>
          <w:sz w:val="24"/>
          <w:szCs w:val="24"/>
        </w:rPr>
        <w:t>S2.10 Gut sample collection and 16S rRNA sequencing analysis</w:t>
      </w:r>
    </w:p>
    <w:p w14:paraId="19398FB1" w14:textId="77777777" w:rsidR="00324840" w:rsidRDefault="00324840" w:rsidP="00324840">
      <w:pPr>
        <w:spacing w:line="480" w:lineRule="auto"/>
        <w:rPr>
          <w:rFonts w:ascii="Times New Roman" w:hAnsi="Times New Roman" w:cs="Times New Roman"/>
          <w:sz w:val="24"/>
          <w:szCs w:val="24"/>
        </w:rPr>
      </w:pPr>
      <w:r w:rsidRPr="00324840">
        <w:rPr>
          <w:rFonts w:ascii="Times New Roman" w:hAnsi="Times New Roman" w:cs="Times New Roman"/>
          <w:sz w:val="24"/>
          <w:szCs w:val="24"/>
        </w:rPr>
        <w:t>After the experiment, surviving worker bees were dissected under aseptic conditions (</w:t>
      </w:r>
      <w:proofErr w:type="spellStart"/>
      <w:r w:rsidRPr="00324840">
        <w:rPr>
          <w:rFonts w:ascii="Times New Roman" w:hAnsi="Times New Roman" w:cs="Times New Roman"/>
          <w:sz w:val="24"/>
          <w:szCs w:val="24"/>
        </w:rPr>
        <w:t>Carreck</w:t>
      </w:r>
      <w:proofErr w:type="spellEnd"/>
      <w:r w:rsidRPr="00324840">
        <w:rPr>
          <w:rFonts w:ascii="Times New Roman" w:hAnsi="Times New Roman" w:cs="Times New Roman"/>
          <w:sz w:val="24"/>
          <w:szCs w:val="24"/>
        </w:rPr>
        <w:t xml:space="preserve"> et al., 2013). First, worker bee body surfaces were disinfected with 75% ethanol for 20 s, then rinsed 3 times with sterile water. Midgut and hindgut tissues were separated. Guts from 5 worker bees were pooled as one sample, with 3 biological replicates per treatment, stored at -80 °C. Total gut microbial DNA was extracted using the </w:t>
      </w:r>
      <w:proofErr w:type="spellStart"/>
      <w:r w:rsidRPr="00324840">
        <w:rPr>
          <w:rFonts w:ascii="Times New Roman" w:hAnsi="Times New Roman" w:cs="Times New Roman"/>
          <w:sz w:val="24"/>
          <w:szCs w:val="24"/>
        </w:rPr>
        <w:t>Tiangen</w:t>
      </w:r>
      <w:proofErr w:type="spellEnd"/>
      <w:r w:rsidRPr="00324840">
        <w:rPr>
          <w:rFonts w:ascii="Times New Roman" w:hAnsi="Times New Roman" w:cs="Times New Roman"/>
          <w:sz w:val="24"/>
          <w:szCs w:val="24"/>
        </w:rPr>
        <w:t xml:space="preserve"> Bacterial Genomic DNA Extraction Kit. DNA purity and integrity were assessed by </w:t>
      </w:r>
      <w:proofErr w:type="spellStart"/>
      <w:r w:rsidRPr="00324840">
        <w:rPr>
          <w:rFonts w:ascii="Times New Roman" w:hAnsi="Times New Roman" w:cs="Times New Roman"/>
          <w:sz w:val="24"/>
          <w:szCs w:val="24"/>
        </w:rPr>
        <w:t>NanoDrop</w:t>
      </w:r>
      <w:proofErr w:type="spellEnd"/>
      <w:r w:rsidRPr="00324840">
        <w:rPr>
          <w:rFonts w:ascii="Times New Roman" w:hAnsi="Times New Roman" w:cs="Times New Roman"/>
          <w:sz w:val="24"/>
          <w:szCs w:val="24"/>
        </w:rPr>
        <w:t xml:space="preserve"> 2000 and 1% agarose gel electrophoresis, respectively. The V3 to V4 region of the 16S rRNA gene was amplified using 338F (5′-ACTCCTACGGGAGGCAGCAG-3′) and 806R (5′-GGACTACHVGGGTWTCTAAT-3′) (Dong et al., 2021; Li et al., 2025). Paired end sequencing was performed on the Illumina MiSeq platform, with sequencing services </w:t>
      </w:r>
      <w:r w:rsidRPr="00324840">
        <w:rPr>
          <w:rFonts w:ascii="Times New Roman" w:hAnsi="Times New Roman" w:cs="Times New Roman"/>
          <w:sz w:val="24"/>
          <w:szCs w:val="24"/>
        </w:rPr>
        <w:lastRenderedPageBreak/>
        <w:t>provided by Shanghai Lingen Biotechnology Co., Ltd.</w:t>
      </w:r>
    </w:p>
    <w:p w14:paraId="73001ADE" w14:textId="77777777" w:rsidR="00324840" w:rsidRPr="00324840" w:rsidRDefault="00324840" w:rsidP="00324840">
      <w:pPr>
        <w:spacing w:line="480" w:lineRule="auto"/>
        <w:rPr>
          <w:rFonts w:ascii="Times New Roman" w:hAnsi="Times New Roman" w:cs="Times New Roman"/>
          <w:sz w:val="24"/>
          <w:szCs w:val="24"/>
        </w:rPr>
      </w:pPr>
    </w:p>
    <w:p w14:paraId="504A2C7A" w14:textId="77777777" w:rsidR="00324840" w:rsidRDefault="00324840" w:rsidP="00324840">
      <w:pPr>
        <w:spacing w:line="480" w:lineRule="auto"/>
        <w:rPr>
          <w:rFonts w:ascii="Times New Roman" w:hAnsi="Times New Roman" w:cs="Times New Roman"/>
          <w:sz w:val="24"/>
          <w:szCs w:val="24"/>
        </w:rPr>
      </w:pPr>
      <w:r w:rsidRPr="00324840">
        <w:rPr>
          <w:rFonts w:ascii="Times New Roman" w:hAnsi="Times New Roman" w:cs="Times New Roman"/>
          <w:sz w:val="24"/>
          <w:szCs w:val="24"/>
        </w:rPr>
        <w:t>Raw sequencing data were processed in QIIME2 v2022.11 (</w:t>
      </w:r>
      <w:proofErr w:type="spellStart"/>
      <w:r w:rsidRPr="00324840">
        <w:rPr>
          <w:rFonts w:ascii="Times New Roman" w:hAnsi="Times New Roman" w:cs="Times New Roman"/>
          <w:sz w:val="24"/>
          <w:szCs w:val="24"/>
        </w:rPr>
        <w:t>Bolyen</w:t>
      </w:r>
      <w:proofErr w:type="spellEnd"/>
      <w:r w:rsidRPr="00324840">
        <w:rPr>
          <w:rFonts w:ascii="Times New Roman" w:hAnsi="Times New Roman" w:cs="Times New Roman"/>
          <w:sz w:val="24"/>
          <w:szCs w:val="24"/>
        </w:rPr>
        <w:t xml:space="preserve"> et al., 2019). DADA2 (Callahan et al., 2016) was used for quality filtering, denoising, paired end sequence merging, and chimera removal to obtain an ASV abundance table (Table S1). To reduce the influence of sequencing depth differences, all samples were rarefied to the same sequencing depth before downstream analysis. Taxonomic annotation was performed based on the SILVA v138 database (Quast et al., 2013) using the Naive Bayes classifier. Subsequent microbial community diversity, composition, and differential analyses were conducted based on the ASV abundance table.</w:t>
      </w:r>
    </w:p>
    <w:p w14:paraId="62C770E9" w14:textId="77777777" w:rsidR="00324840" w:rsidRPr="00324840" w:rsidRDefault="00324840" w:rsidP="00324840">
      <w:pPr>
        <w:spacing w:line="480" w:lineRule="auto"/>
        <w:rPr>
          <w:rFonts w:ascii="Times New Roman" w:hAnsi="Times New Roman" w:cs="Times New Roman"/>
          <w:sz w:val="24"/>
          <w:szCs w:val="24"/>
        </w:rPr>
      </w:pPr>
    </w:p>
    <w:p w14:paraId="4899207B" w14:textId="77777777" w:rsidR="00324840" w:rsidRPr="00324840" w:rsidRDefault="00324840" w:rsidP="00324840">
      <w:pPr>
        <w:spacing w:line="480" w:lineRule="auto"/>
        <w:rPr>
          <w:rFonts w:ascii="Times New Roman" w:hAnsi="Times New Roman" w:cs="Times New Roman"/>
          <w:b/>
          <w:bCs/>
          <w:sz w:val="24"/>
          <w:szCs w:val="24"/>
        </w:rPr>
      </w:pPr>
      <w:r w:rsidRPr="00324840">
        <w:rPr>
          <w:rFonts w:ascii="Times New Roman" w:hAnsi="Times New Roman" w:cs="Times New Roman"/>
          <w:b/>
          <w:bCs/>
          <w:sz w:val="24"/>
          <w:szCs w:val="24"/>
        </w:rPr>
        <w:t>S2.11 PICRUSt2 functional prediction</w:t>
      </w:r>
    </w:p>
    <w:p w14:paraId="357FF88F" w14:textId="77777777" w:rsidR="00324840" w:rsidRDefault="00324840" w:rsidP="00324840">
      <w:pPr>
        <w:spacing w:line="480" w:lineRule="auto"/>
        <w:rPr>
          <w:rFonts w:ascii="Times New Roman" w:hAnsi="Times New Roman" w:cs="Times New Roman"/>
          <w:sz w:val="24"/>
          <w:szCs w:val="24"/>
        </w:rPr>
      </w:pPr>
      <w:r w:rsidRPr="00324840">
        <w:rPr>
          <w:rFonts w:ascii="Times New Roman" w:hAnsi="Times New Roman" w:cs="Times New Roman"/>
          <w:sz w:val="24"/>
          <w:szCs w:val="24"/>
        </w:rPr>
        <w:t>Based on ASV data obtained from 16S rRNA sequencing, PICRUSt2 was used to predict potential functions of the </w:t>
      </w:r>
      <w:r w:rsidRPr="00324840">
        <w:rPr>
          <w:rFonts w:ascii="Times New Roman" w:hAnsi="Times New Roman" w:cs="Times New Roman"/>
          <w:i/>
          <w:iCs/>
          <w:sz w:val="24"/>
          <w:szCs w:val="24"/>
        </w:rPr>
        <w:t>A. cerana</w:t>
      </w:r>
      <w:r w:rsidRPr="00324840">
        <w:rPr>
          <w:rFonts w:ascii="Times New Roman" w:hAnsi="Times New Roman" w:cs="Times New Roman"/>
          <w:sz w:val="24"/>
          <w:szCs w:val="24"/>
        </w:rPr>
        <w:t> gut microbiome (Douglas et al., 2020). Potential functional composition in samples was inferred from ASV composition and phylogenetic information. Differences in predicted functional pathways between control and Cd treated groups were compared. Functional prediction was performed in the QIIME2 2020.11 analysis environment with default parameters. Multiple pathway comparisons were corrected using the Benjamini-Hochberg method for FDR, with q &lt; 0.05 as the significance threshold.</w:t>
      </w:r>
    </w:p>
    <w:p w14:paraId="1CB5A245" w14:textId="77777777" w:rsidR="00324840" w:rsidRPr="00324840" w:rsidRDefault="00324840" w:rsidP="00324840">
      <w:pPr>
        <w:spacing w:line="480" w:lineRule="auto"/>
        <w:rPr>
          <w:rFonts w:ascii="Times New Roman" w:hAnsi="Times New Roman" w:cs="Times New Roman"/>
          <w:sz w:val="24"/>
          <w:szCs w:val="24"/>
        </w:rPr>
      </w:pPr>
    </w:p>
    <w:p w14:paraId="096F52AE" w14:textId="77777777" w:rsidR="00324840" w:rsidRPr="00324840" w:rsidRDefault="00324840" w:rsidP="00324840">
      <w:pPr>
        <w:spacing w:line="480" w:lineRule="auto"/>
        <w:rPr>
          <w:rFonts w:ascii="Times New Roman" w:hAnsi="Times New Roman" w:cs="Times New Roman"/>
          <w:b/>
          <w:bCs/>
          <w:sz w:val="24"/>
          <w:szCs w:val="24"/>
        </w:rPr>
      </w:pPr>
      <w:r w:rsidRPr="00324840">
        <w:rPr>
          <w:rFonts w:ascii="Times New Roman" w:hAnsi="Times New Roman" w:cs="Times New Roman"/>
          <w:b/>
          <w:bCs/>
          <w:sz w:val="24"/>
          <w:szCs w:val="24"/>
        </w:rPr>
        <w:t xml:space="preserve">S2.12 Literature synthesis of heavy metal tolerance, accumulation, and </w:t>
      </w:r>
      <w:r w:rsidRPr="00324840">
        <w:rPr>
          <w:rFonts w:ascii="Times New Roman" w:hAnsi="Times New Roman" w:cs="Times New Roman"/>
          <w:b/>
          <w:bCs/>
          <w:sz w:val="24"/>
          <w:szCs w:val="24"/>
        </w:rPr>
        <w:lastRenderedPageBreak/>
        <w:t>hyperaccumulation evidence in invasive plants</w:t>
      </w:r>
    </w:p>
    <w:p w14:paraId="0EC390B1" w14:textId="6D6D4840" w:rsidR="00324840" w:rsidRDefault="00324840" w:rsidP="00324840">
      <w:pPr>
        <w:spacing w:line="480" w:lineRule="auto"/>
        <w:rPr>
          <w:rFonts w:ascii="Times New Roman" w:hAnsi="Times New Roman" w:cs="Times New Roman"/>
          <w:sz w:val="24"/>
          <w:szCs w:val="24"/>
        </w:rPr>
      </w:pPr>
      <w:r w:rsidRPr="00324840">
        <w:rPr>
          <w:rFonts w:ascii="Times New Roman" w:hAnsi="Times New Roman" w:cs="Times New Roman"/>
          <w:sz w:val="24"/>
          <w:szCs w:val="24"/>
        </w:rPr>
        <w:t xml:space="preserve">To determine whether heavy metal tolerance and accumulation are merely </w:t>
      </w:r>
      <w:proofErr w:type="gramStart"/>
      <w:r w:rsidRPr="00324840">
        <w:rPr>
          <w:rFonts w:ascii="Times New Roman" w:hAnsi="Times New Roman" w:cs="Times New Roman"/>
          <w:sz w:val="24"/>
          <w:szCs w:val="24"/>
        </w:rPr>
        <w:t>species specific</w:t>
      </w:r>
      <w:proofErr w:type="gramEnd"/>
      <w:r w:rsidRPr="00324840">
        <w:rPr>
          <w:rFonts w:ascii="Times New Roman" w:hAnsi="Times New Roman" w:cs="Times New Roman"/>
          <w:sz w:val="24"/>
          <w:szCs w:val="24"/>
        </w:rPr>
        <w:t xml:space="preserve"> peculiarities of </w:t>
      </w:r>
      <w:r w:rsidRPr="00324840">
        <w:rPr>
          <w:rFonts w:ascii="Times New Roman" w:hAnsi="Times New Roman" w:cs="Times New Roman"/>
          <w:i/>
          <w:iCs/>
          <w:sz w:val="24"/>
          <w:szCs w:val="24"/>
        </w:rPr>
        <w:t>P. americana</w:t>
      </w:r>
      <w:r w:rsidRPr="00324840">
        <w:rPr>
          <w:rFonts w:ascii="Times New Roman" w:hAnsi="Times New Roman" w:cs="Times New Roman"/>
          <w:sz w:val="24"/>
          <w:szCs w:val="24"/>
        </w:rPr>
        <w:t xml:space="preserve">, we conducted an exploratory, </w:t>
      </w:r>
      <w:r w:rsidRPr="00324840">
        <w:rPr>
          <w:rFonts w:ascii="Times New Roman" w:hAnsi="Times New Roman" w:cs="Times New Roman"/>
          <w:sz w:val="24"/>
          <w:szCs w:val="24"/>
        </w:rPr>
        <w:t>non-systematic</w:t>
      </w:r>
      <w:r w:rsidRPr="00324840">
        <w:rPr>
          <w:rFonts w:ascii="Times New Roman" w:hAnsi="Times New Roman" w:cs="Times New Roman"/>
          <w:sz w:val="24"/>
          <w:szCs w:val="24"/>
        </w:rPr>
        <w:t xml:space="preserve"> literature search in the Web of Science Core Collection to compile reported heavy metal tolerance, accumulation, and hyperaccumulation phenomena in alien invasive plants. The final dataset contained 64 alien invasive plant species and 19 heavy metal or metalloid elements (Table S2), including Al, As, B, Ba, Co, Cr, Cs, Cu, Fe, Hg, Li, Mn, Ni, Pb, Sr, U, V, Zn, and Cd. Based on evidence provided by original studies, each plant species by element combination was classified and coded: 0 = no relevant evidence obtained; 1 = tolerance; 2 = enrichment; 3 = hyperaccumulation. The resulting species element matrix was visualized using cluster heatmaps to describe the distribution of heavy metal related traits across different invasive plants. Evidence sources and reference information for each plant species by element combination are listed in Table S2.</w:t>
      </w:r>
    </w:p>
    <w:p w14:paraId="44D602CB" w14:textId="77777777" w:rsidR="00324840" w:rsidRPr="00324840" w:rsidRDefault="00324840" w:rsidP="00324840">
      <w:pPr>
        <w:spacing w:line="480" w:lineRule="auto"/>
        <w:rPr>
          <w:rFonts w:ascii="Times New Roman" w:hAnsi="Times New Roman" w:cs="Times New Roman"/>
          <w:sz w:val="24"/>
          <w:szCs w:val="24"/>
        </w:rPr>
      </w:pPr>
    </w:p>
    <w:p w14:paraId="7F92819B" w14:textId="77777777" w:rsidR="00324840" w:rsidRPr="00324840" w:rsidRDefault="00324840" w:rsidP="00324840">
      <w:pPr>
        <w:spacing w:line="480" w:lineRule="auto"/>
        <w:rPr>
          <w:rFonts w:ascii="Times New Roman" w:hAnsi="Times New Roman" w:cs="Times New Roman"/>
          <w:b/>
          <w:bCs/>
          <w:sz w:val="24"/>
          <w:szCs w:val="24"/>
        </w:rPr>
      </w:pPr>
      <w:r w:rsidRPr="00324840">
        <w:rPr>
          <w:rFonts w:ascii="Times New Roman" w:hAnsi="Times New Roman" w:cs="Times New Roman"/>
          <w:b/>
          <w:bCs/>
          <w:sz w:val="24"/>
          <w:szCs w:val="24"/>
        </w:rPr>
        <w:t>S2.13 National wild honey pollen eDNA and heavy metal analysis</w:t>
      </w:r>
    </w:p>
    <w:p w14:paraId="32831710" w14:textId="77777777" w:rsidR="00324840" w:rsidRPr="00324840" w:rsidRDefault="00324840" w:rsidP="00324840">
      <w:pPr>
        <w:spacing w:line="480" w:lineRule="auto"/>
        <w:rPr>
          <w:rFonts w:ascii="Times New Roman" w:hAnsi="Times New Roman" w:cs="Times New Roman"/>
          <w:b/>
          <w:bCs/>
          <w:sz w:val="24"/>
          <w:szCs w:val="24"/>
        </w:rPr>
      </w:pPr>
      <w:r w:rsidRPr="00324840">
        <w:rPr>
          <w:rFonts w:ascii="Times New Roman" w:hAnsi="Times New Roman" w:cs="Times New Roman"/>
          <w:b/>
          <w:bCs/>
          <w:sz w:val="24"/>
          <w:szCs w:val="24"/>
        </w:rPr>
        <w:t>S2.13.1 Honey samples</w:t>
      </w:r>
    </w:p>
    <w:p w14:paraId="6A188F1C" w14:textId="77777777" w:rsidR="00324840" w:rsidRDefault="00324840" w:rsidP="00324840">
      <w:pPr>
        <w:spacing w:line="480" w:lineRule="auto"/>
        <w:rPr>
          <w:rFonts w:ascii="Times New Roman" w:hAnsi="Times New Roman" w:cs="Times New Roman"/>
          <w:sz w:val="24"/>
          <w:szCs w:val="24"/>
        </w:rPr>
      </w:pPr>
      <w:r w:rsidRPr="00324840">
        <w:rPr>
          <w:rFonts w:ascii="Times New Roman" w:hAnsi="Times New Roman" w:cs="Times New Roman"/>
          <w:sz w:val="24"/>
          <w:szCs w:val="24"/>
        </w:rPr>
        <w:t xml:space="preserve">The team collected or obtained 76 wild honey samples from different regions of China. Based on pollen sediment amount, DNA quality, and subsequent sequencing quality, 6 samples were selected for plant pollen eDNA sequencing and combined heavy metal analysis. These samples were from Songyang, </w:t>
      </w:r>
      <w:proofErr w:type="spellStart"/>
      <w:r w:rsidRPr="00324840">
        <w:rPr>
          <w:rFonts w:ascii="Times New Roman" w:hAnsi="Times New Roman" w:cs="Times New Roman"/>
          <w:sz w:val="24"/>
          <w:szCs w:val="24"/>
        </w:rPr>
        <w:t>Lishui</w:t>
      </w:r>
      <w:proofErr w:type="spellEnd"/>
      <w:r w:rsidRPr="00324840">
        <w:rPr>
          <w:rFonts w:ascii="Times New Roman" w:hAnsi="Times New Roman" w:cs="Times New Roman"/>
          <w:sz w:val="24"/>
          <w:szCs w:val="24"/>
        </w:rPr>
        <w:t xml:space="preserve">, Zhejiang (ZJ); </w:t>
      </w:r>
      <w:proofErr w:type="spellStart"/>
      <w:r w:rsidRPr="00324840">
        <w:rPr>
          <w:rFonts w:ascii="Times New Roman" w:hAnsi="Times New Roman" w:cs="Times New Roman"/>
          <w:sz w:val="24"/>
          <w:szCs w:val="24"/>
        </w:rPr>
        <w:t>Xupu</w:t>
      </w:r>
      <w:proofErr w:type="spellEnd"/>
      <w:r w:rsidRPr="00324840">
        <w:rPr>
          <w:rFonts w:ascii="Times New Roman" w:hAnsi="Times New Roman" w:cs="Times New Roman"/>
          <w:sz w:val="24"/>
          <w:szCs w:val="24"/>
        </w:rPr>
        <w:t xml:space="preserve">, </w:t>
      </w:r>
      <w:proofErr w:type="spellStart"/>
      <w:r w:rsidRPr="00324840">
        <w:rPr>
          <w:rFonts w:ascii="Times New Roman" w:hAnsi="Times New Roman" w:cs="Times New Roman"/>
          <w:sz w:val="24"/>
          <w:szCs w:val="24"/>
        </w:rPr>
        <w:t>Huaihua</w:t>
      </w:r>
      <w:proofErr w:type="spellEnd"/>
      <w:r w:rsidRPr="00324840">
        <w:rPr>
          <w:rFonts w:ascii="Times New Roman" w:hAnsi="Times New Roman" w:cs="Times New Roman"/>
          <w:sz w:val="24"/>
          <w:szCs w:val="24"/>
        </w:rPr>
        <w:t>, Hunan (</w:t>
      </w:r>
      <w:proofErr w:type="spellStart"/>
      <w:r w:rsidRPr="00324840">
        <w:rPr>
          <w:rFonts w:ascii="Times New Roman" w:hAnsi="Times New Roman" w:cs="Times New Roman"/>
          <w:sz w:val="24"/>
          <w:szCs w:val="24"/>
        </w:rPr>
        <w:t>HNa</w:t>
      </w:r>
      <w:proofErr w:type="spellEnd"/>
      <w:r w:rsidRPr="00324840">
        <w:rPr>
          <w:rFonts w:ascii="Times New Roman" w:hAnsi="Times New Roman" w:cs="Times New Roman"/>
          <w:sz w:val="24"/>
          <w:szCs w:val="24"/>
        </w:rPr>
        <w:t xml:space="preserve">); </w:t>
      </w:r>
      <w:proofErr w:type="spellStart"/>
      <w:r w:rsidRPr="00324840">
        <w:rPr>
          <w:rFonts w:ascii="Times New Roman" w:hAnsi="Times New Roman" w:cs="Times New Roman"/>
          <w:sz w:val="24"/>
          <w:szCs w:val="24"/>
        </w:rPr>
        <w:t>Nanchuan</w:t>
      </w:r>
      <w:proofErr w:type="spellEnd"/>
      <w:r w:rsidRPr="00324840">
        <w:rPr>
          <w:rFonts w:ascii="Times New Roman" w:hAnsi="Times New Roman" w:cs="Times New Roman"/>
          <w:sz w:val="24"/>
          <w:szCs w:val="24"/>
        </w:rPr>
        <w:t xml:space="preserve">, Chongqing (CQ); </w:t>
      </w:r>
      <w:proofErr w:type="spellStart"/>
      <w:r w:rsidRPr="00324840">
        <w:rPr>
          <w:rFonts w:ascii="Times New Roman" w:hAnsi="Times New Roman" w:cs="Times New Roman"/>
          <w:sz w:val="24"/>
          <w:szCs w:val="24"/>
        </w:rPr>
        <w:t>Songxian</w:t>
      </w:r>
      <w:proofErr w:type="spellEnd"/>
      <w:r w:rsidRPr="00324840">
        <w:rPr>
          <w:rFonts w:ascii="Times New Roman" w:hAnsi="Times New Roman" w:cs="Times New Roman"/>
          <w:sz w:val="24"/>
          <w:szCs w:val="24"/>
        </w:rPr>
        <w:t>, Luoyang, Henan (</w:t>
      </w:r>
      <w:proofErr w:type="spellStart"/>
      <w:r w:rsidRPr="00324840">
        <w:rPr>
          <w:rFonts w:ascii="Times New Roman" w:hAnsi="Times New Roman" w:cs="Times New Roman"/>
          <w:sz w:val="24"/>
          <w:szCs w:val="24"/>
        </w:rPr>
        <w:t>HeN</w:t>
      </w:r>
      <w:proofErr w:type="spellEnd"/>
      <w:r w:rsidRPr="00324840">
        <w:rPr>
          <w:rFonts w:ascii="Times New Roman" w:hAnsi="Times New Roman" w:cs="Times New Roman"/>
          <w:sz w:val="24"/>
          <w:szCs w:val="24"/>
        </w:rPr>
        <w:t xml:space="preserve">); </w:t>
      </w:r>
      <w:proofErr w:type="spellStart"/>
      <w:r w:rsidRPr="00324840">
        <w:rPr>
          <w:rFonts w:ascii="Times New Roman" w:hAnsi="Times New Roman" w:cs="Times New Roman"/>
          <w:sz w:val="24"/>
          <w:szCs w:val="24"/>
        </w:rPr>
        <w:lastRenderedPageBreak/>
        <w:t>Maoxian</w:t>
      </w:r>
      <w:proofErr w:type="spellEnd"/>
      <w:r w:rsidRPr="00324840">
        <w:rPr>
          <w:rFonts w:ascii="Times New Roman" w:hAnsi="Times New Roman" w:cs="Times New Roman"/>
          <w:sz w:val="24"/>
          <w:szCs w:val="24"/>
        </w:rPr>
        <w:t xml:space="preserve">, Aba, Sichuan (SC); and </w:t>
      </w:r>
      <w:proofErr w:type="spellStart"/>
      <w:r w:rsidRPr="00324840">
        <w:rPr>
          <w:rFonts w:ascii="Times New Roman" w:hAnsi="Times New Roman" w:cs="Times New Roman"/>
          <w:sz w:val="24"/>
          <w:szCs w:val="24"/>
        </w:rPr>
        <w:t>Xiuning</w:t>
      </w:r>
      <w:proofErr w:type="spellEnd"/>
      <w:r w:rsidRPr="00324840">
        <w:rPr>
          <w:rFonts w:ascii="Times New Roman" w:hAnsi="Times New Roman" w:cs="Times New Roman"/>
          <w:sz w:val="24"/>
          <w:szCs w:val="24"/>
        </w:rPr>
        <w:t>, Huangshan, Anhui (AH).</w:t>
      </w:r>
    </w:p>
    <w:p w14:paraId="4018D310" w14:textId="77777777" w:rsidR="00324840" w:rsidRPr="00324840" w:rsidRDefault="00324840" w:rsidP="00324840">
      <w:pPr>
        <w:spacing w:line="480" w:lineRule="auto"/>
        <w:rPr>
          <w:rFonts w:ascii="Times New Roman" w:hAnsi="Times New Roman" w:cs="Times New Roman"/>
          <w:sz w:val="24"/>
          <w:szCs w:val="24"/>
        </w:rPr>
      </w:pPr>
    </w:p>
    <w:p w14:paraId="4B371E41" w14:textId="77777777" w:rsidR="00324840" w:rsidRPr="00324840" w:rsidRDefault="00324840" w:rsidP="00324840">
      <w:pPr>
        <w:spacing w:line="480" w:lineRule="auto"/>
        <w:rPr>
          <w:rFonts w:ascii="Times New Roman" w:hAnsi="Times New Roman" w:cs="Times New Roman"/>
          <w:b/>
          <w:bCs/>
          <w:sz w:val="24"/>
          <w:szCs w:val="24"/>
        </w:rPr>
      </w:pPr>
      <w:r w:rsidRPr="00324840">
        <w:rPr>
          <w:rFonts w:ascii="Times New Roman" w:hAnsi="Times New Roman" w:cs="Times New Roman"/>
          <w:b/>
          <w:bCs/>
          <w:sz w:val="24"/>
          <w:szCs w:val="24"/>
        </w:rPr>
        <w:t>S2.13.2 Honey pollen DNA extraction and eDNA sequencing</w:t>
      </w:r>
    </w:p>
    <w:p w14:paraId="1C9091D6" w14:textId="77777777" w:rsidR="00324840" w:rsidRPr="00324840" w:rsidRDefault="00324840" w:rsidP="00324840">
      <w:pPr>
        <w:spacing w:line="480" w:lineRule="auto"/>
        <w:rPr>
          <w:rFonts w:ascii="Times New Roman" w:hAnsi="Times New Roman" w:cs="Times New Roman"/>
          <w:sz w:val="24"/>
          <w:szCs w:val="24"/>
        </w:rPr>
      </w:pPr>
      <w:r w:rsidRPr="00324840">
        <w:rPr>
          <w:rFonts w:ascii="Times New Roman" w:hAnsi="Times New Roman" w:cs="Times New Roman"/>
          <w:sz w:val="24"/>
          <w:szCs w:val="24"/>
        </w:rPr>
        <w:t xml:space="preserve">Each honey sample (50 g) was aliquoted into four 50 mL sterile centrifuge tubes. Then 30 mL ultrapure water was added, and samples were incubated in a 65 °C water bath for 15 min to fully dissolve the honey. Subsequently, samples were centrifuged at 14,000 × g for 15 min, the supernatant discarded, and pollen sediments from the four tubes combined. Total pollen DNA was extracted using the E.Z.N.A.® Soil DNA Kit. The ITS2 region was amplified with plant universal primers ITS2F/ITS4R. Amplification products were purified, quantified using </w:t>
      </w:r>
      <w:proofErr w:type="spellStart"/>
      <w:r w:rsidRPr="00324840">
        <w:rPr>
          <w:rFonts w:ascii="Times New Roman" w:hAnsi="Times New Roman" w:cs="Times New Roman"/>
          <w:sz w:val="24"/>
          <w:szCs w:val="24"/>
        </w:rPr>
        <w:t>QuantiFluor</w:t>
      </w:r>
      <w:proofErr w:type="spellEnd"/>
      <w:r w:rsidRPr="00324840">
        <w:rPr>
          <w:rFonts w:ascii="Times New Roman" w:hAnsi="Times New Roman" w:cs="Times New Roman"/>
          <w:sz w:val="24"/>
          <w:szCs w:val="24"/>
        </w:rPr>
        <w:t xml:space="preserve">™-ST, and PE250 sequencing libraries were constructed and paired end sequenced on the Illumina platform. After quality control, </w:t>
      </w:r>
      <w:proofErr w:type="gramStart"/>
      <w:r w:rsidRPr="00324840">
        <w:rPr>
          <w:rFonts w:ascii="Times New Roman" w:hAnsi="Times New Roman" w:cs="Times New Roman"/>
          <w:sz w:val="24"/>
          <w:szCs w:val="24"/>
        </w:rPr>
        <w:t>low quality</w:t>
      </w:r>
      <w:proofErr w:type="gramEnd"/>
      <w:r w:rsidRPr="00324840">
        <w:rPr>
          <w:rFonts w:ascii="Times New Roman" w:hAnsi="Times New Roman" w:cs="Times New Roman"/>
          <w:sz w:val="24"/>
          <w:szCs w:val="24"/>
        </w:rPr>
        <w:t xml:space="preserve"> sequence filtering, and chimera removal, effective sequences were obtained. Feature sequence parsing and plant taxonomic annotation were completed to obtain the taxonomic composition and relative abundance of plant pollen in each honey sample (Liu et al., 2022; Lu et al., 2021) (Table S3).</w:t>
      </w:r>
    </w:p>
    <w:p w14:paraId="6A9281AA" w14:textId="77777777" w:rsidR="00324840" w:rsidRDefault="00324840" w:rsidP="00324840">
      <w:pPr>
        <w:spacing w:line="480" w:lineRule="auto"/>
        <w:rPr>
          <w:rFonts w:ascii="Times New Roman" w:hAnsi="Times New Roman" w:cs="Times New Roman"/>
          <w:b/>
          <w:bCs/>
          <w:sz w:val="24"/>
          <w:szCs w:val="24"/>
        </w:rPr>
      </w:pPr>
    </w:p>
    <w:p w14:paraId="713779A2" w14:textId="50D08531" w:rsidR="00324840" w:rsidRPr="00324840" w:rsidRDefault="00324840" w:rsidP="00324840">
      <w:pPr>
        <w:spacing w:line="480" w:lineRule="auto"/>
        <w:rPr>
          <w:rFonts w:ascii="Times New Roman" w:hAnsi="Times New Roman" w:cs="Times New Roman"/>
          <w:b/>
          <w:bCs/>
          <w:sz w:val="24"/>
          <w:szCs w:val="24"/>
        </w:rPr>
      </w:pPr>
      <w:r w:rsidRPr="00324840">
        <w:rPr>
          <w:rFonts w:ascii="Times New Roman" w:hAnsi="Times New Roman" w:cs="Times New Roman"/>
          <w:b/>
          <w:bCs/>
          <w:sz w:val="24"/>
          <w:szCs w:val="24"/>
        </w:rPr>
        <w:t>S2.13.3 Honey heavy metal determination</w:t>
      </w:r>
    </w:p>
    <w:p w14:paraId="78423336" w14:textId="570408C0" w:rsidR="00324840" w:rsidRPr="00324840" w:rsidRDefault="00324840" w:rsidP="00324840">
      <w:pPr>
        <w:spacing w:line="480" w:lineRule="auto"/>
        <w:rPr>
          <w:rFonts w:ascii="Times New Roman" w:hAnsi="Times New Roman" w:cs="Times New Roman"/>
          <w:sz w:val="24"/>
          <w:szCs w:val="24"/>
        </w:rPr>
      </w:pPr>
      <w:r w:rsidRPr="00324840">
        <w:rPr>
          <w:rFonts w:ascii="Times New Roman" w:hAnsi="Times New Roman" w:cs="Times New Roman"/>
          <w:sz w:val="24"/>
          <w:szCs w:val="24"/>
        </w:rPr>
        <w:t>Honey samples (0.25 g, accurate to 0.001 g) were weighed into polytetrafluoroethylene digestion tubes. Then 5 mL concentrated nitric acid and 2 mL hydrogen peroxide were added, and samples were pre-digested at 70 °C for 20 min. Subsequently, microwave digestion was performed according to the following program: ramp to 120°</w:t>
      </w:r>
      <w:proofErr w:type="spellStart"/>
      <w:r w:rsidRPr="00324840">
        <w:rPr>
          <w:rFonts w:ascii="Times New Roman" w:hAnsi="Times New Roman" w:cs="Times New Roman"/>
          <w:sz w:val="24"/>
          <w:szCs w:val="24"/>
        </w:rPr>
        <w:t>C over</w:t>
      </w:r>
      <w:proofErr w:type="spellEnd"/>
      <w:r w:rsidRPr="00324840">
        <w:rPr>
          <w:rFonts w:ascii="Times New Roman" w:hAnsi="Times New Roman" w:cs="Times New Roman"/>
          <w:sz w:val="24"/>
          <w:szCs w:val="24"/>
        </w:rPr>
        <w:t xml:space="preserve"> 6 min and hold for 3 min; ramp to 150°</w:t>
      </w:r>
      <w:proofErr w:type="spellStart"/>
      <w:r w:rsidRPr="00324840">
        <w:rPr>
          <w:rFonts w:ascii="Times New Roman" w:hAnsi="Times New Roman" w:cs="Times New Roman"/>
          <w:sz w:val="24"/>
          <w:szCs w:val="24"/>
        </w:rPr>
        <w:t>C over</w:t>
      </w:r>
      <w:proofErr w:type="spellEnd"/>
      <w:r w:rsidRPr="00324840">
        <w:rPr>
          <w:rFonts w:ascii="Times New Roman" w:hAnsi="Times New Roman" w:cs="Times New Roman"/>
          <w:sz w:val="24"/>
          <w:szCs w:val="24"/>
        </w:rPr>
        <w:t xml:space="preserve"> 5 min and hold for 5 min; ramp to 180°</w:t>
      </w:r>
      <w:proofErr w:type="spellStart"/>
      <w:r w:rsidRPr="00324840">
        <w:rPr>
          <w:rFonts w:ascii="Times New Roman" w:hAnsi="Times New Roman" w:cs="Times New Roman"/>
          <w:sz w:val="24"/>
          <w:szCs w:val="24"/>
        </w:rPr>
        <w:t xml:space="preserve">C </w:t>
      </w:r>
      <w:r w:rsidRPr="00324840">
        <w:rPr>
          <w:rFonts w:ascii="Times New Roman" w:hAnsi="Times New Roman" w:cs="Times New Roman"/>
          <w:sz w:val="24"/>
          <w:szCs w:val="24"/>
        </w:rPr>
        <w:lastRenderedPageBreak/>
        <w:t>over</w:t>
      </w:r>
      <w:proofErr w:type="spellEnd"/>
      <w:r w:rsidRPr="00324840">
        <w:rPr>
          <w:rFonts w:ascii="Times New Roman" w:hAnsi="Times New Roman" w:cs="Times New Roman"/>
          <w:sz w:val="24"/>
          <w:szCs w:val="24"/>
        </w:rPr>
        <w:t xml:space="preserve"> 5 min and hold for 15 min. After cooling, digests were evaporated at 110°C to approximately 1 mL, brought to 25 mL with ultrapure water, and As, Hg, Cd, and Pb concentrations were determined by ICP-MS.</w:t>
      </w:r>
    </w:p>
    <w:p w14:paraId="0D11A9CB" w14:textId="77777777" w:rsidR="00324840" w:rsidRDefault="00324840" w:rsidP="00324840">
      <w:pPr>
        <w:spacing w:line="480" w:lineRule="auto"/>
        <w:rPr>
          <w:rFonts w:ascii="Times New Roman" w:hAnsi="Times New Roman" w:cs="Times New Roman"/>
          <w:b/>
          <w:bCs/>
          <w:sz w:val="24"/>
          <w:szCs w:val="24"/>
        </w:rPr>
      </w:pPr>
    </w:p>
    <w:p w14:paraId="1EB38618" w14:textId="3BD59DC0" w:rsidR="00324840" w:rsidRPr="00324840" w:rsidRDefault="00324840" w:rsidP="00324840">
      <w:pPr>
        <w:spacing w:line="480" w:lineRule="auto"/>
        <w:rPr>
          <w:rFonts w:ascii="Times New Roman" w:hAnsi="Times New Roman" w:cs="Times New Roman"/>
          <w:b/>
          <w:bCs/>
          <w:sz w:val="24"/>
          <w:szCs w:val="24"/>
        </w:rPr>
      </w:pPr>
      <w:r w:rsidRPr="00324840">
        <w:rPr>
          <w:rFonts w:ascii="Times New Roman" w:hAnsi="Times New Roman" w:cs="Times New Roman"/>
          <w:b/>
          <w:bCs/>
          <w:sz w:val="24"/>
          <w:szCs w:val="24"/>
        </w:rPr>
        <w:t>S2.14 Statistical analysis</w:t>
      </w:r>
    </w:p>
    <w:p w14:paraId="682C1AB6" w14:textId="745D56BE" w:rsidR="00324840" w:rsidRPr="00324840" w:rsidRDefault="00324840" w:rsidP="00324840">
      <w:pPr>
        <w:spacing w:line="480" w:lineRule="auto"/>
        <w:rPr>
          <w:rFonts w:ascii="Times New Roman" w:hAnsi="Times New Roman" w:cs="Times New Roman"/>
          <w:sz w:val="24"/>
          <w:szCs w:val="24"/>
        </w:rPr>
      </w:pPr>
      <w:r w:rsidRPr="00324840">
        <w:rPr>
          <w:rFonts w:ascii="Times New Roman" w:hAnsi="Times New Roman" w:cs="Times New Roman"/>
          <w:sz w:val="24"/>
          <w:szCs w:val="24"/>
        </w:rPr>
        <w:t xml:space="preserve">SPSS Statistics 23 was used for routine statistical analyses. Unless otherwise stated, all analyses used independent biological replicates as the basic experimental unit. Data distribution and variance homogeneity were checked before parametric tests. Plant growth, reproductive traits, and tissue Cd accumulation data were first analyzed within each plant species using one way ANOVA to compare differences among Cd treatments. Overall effects were further analyzed using </w:t>
      </w:r>
      <w:r w:rsidRPr="00324840">
        <w:rPr>
          <w:rFonts w:ascii="Times New Roman" w:hAnsi="Times New Roman" w:cs="Times New Roman"/>
          <w:sz w:val="24"/>
          <w:szCs w:val="24"/>
        </w:rPr>
        <w:t>two-way</w:t>
      </w:r>
      <w:r w:rsidRPr="00324840">
        <w:rPr>
          <w:rFonts w:ascii="Times New Roman" w:hAnsi="Times New Roman" w:cs="Times New Roman"/>
          <w:sz w:val="24"/>
          <w:szCs w:val="24"/>
        </w:rPr>
        <w:t xml:space="preserve"> ANOVA with plant species and Cd treatment as fixed factors to test plant species, Cd treatment, and their interaction. When ANOVA reached significance, Tukey HSD was used for post hoc multiple comparisons.</w:t>
      </w:r>
    </w:p>
    <w:p w14:paraId="7F09A9B4" w14:textId="77777777" w:rsidR="00324840" w:rsidRDefault="00324840" w:rsidP="00324840">
      <w:pPr>
        <w:spacing w:line="480" w:lineRule="auto"/>
        <w:rPr>
          <w:rFonts w:ascii="Times New Roman" w:hAnsi="Times New Roman" w:cs="Times New Roman"/>
          <w:sz w:val="24"/>
          <w:szCs w:val="24"/>
        </w:rPr>
      </w:pPr>
      <w:r w:rsidRPr="00324840">
        <w:rPr>
          <w:rFonts w:ascii="Times New Roman" w:hAnsi="Times New Roman" w:cs="Times New Roman"/>
          <w:i/>
          <w:iCs/>
          <w:sz w:val="24"/>
          <w:szCs w:val="24"/>
        </w:rPr>
        <w:t>A. cerana</w:t>
      </w:r>
      <w:r w:rsidRPr="00324840">
        <w:rPr>
          <w:rFonts w:ascii="Times New Roman" w:hAnsi="Times New Roman" w:cs="Times New Roman"/>
          <w:sz w:val="24"/>
          <w:szCs w:val="24"/>
        </w:rPr>
        <w:t> visitation frequency, body isotope content, and microbial diversity indices were compared using one way ANOVA. </w:t>
      </w:r>
      <w:r w:rsidRPr="00324840">
        <w:rPr>
          <w:rFonts w:ascii="Times New Roman" w:hAnsi="Times New Roman" w:cs="Times New Roman"/>
          <w:i/>
          <w:iCs/>
          <w:sz w:val="24"/>
          <w:szCs w:val="24"/>
        </w:rPr>
        <w:t>A. cerana</w:t>
      </w:r>
      <w:r w:rsidRPr="00324840">
        <w:rPr>
          <w:rFonts w:ascii="Times New Roman" w:hAnsi="Times New Roman" w:cs="Times New Roman"/>
          <w:sz w:val="24"/>
          <w:szCs w:val="24"/>
        </w:rPr>
        <w:t> survival data were plotted as Kaplan-Meier survival curves using GraphPad Prism 10. Log rank tests were used to compare survival differences between Cd treated and control groups. Cox proportional hazards models were used to estimate hazard ratios (HR) and 95% confidence intervals for Cd exposure relative to control.</w:t>
      </w:r>
    </w:p>
    <w:p w14:paraId="03131F2C" w14:textId="77777777" w:rsidR="00324840" w:rsidRPr="00324840" w:rsidRDefault="00324840" w:rsidP="00324840">
      <w:pPr>
        <w:spacing w:line="480" w:lineRule="auto"/>
        <w:rPr>
          <w:rFonts w:ascii="Times New Roman" w:hAnsi="Times New Roman" w:cs="Times New Roman"/>
          <w:sz w:val="24"/>
          <w:szCs w:val="24"/>
        </w:rPr>
      </w:pPr>
    </w:p>
    <w:p w14:paraId="30C06CAE" w14:textId="77777777" w:rsidR="00324840" w:rsidRDefault="00324840" w:rsidP="00324840">
      <w:pPr>
        <w:spacing w:line="480" w:lineRule="auto"/>
        <w:rPr>
          <w:rFonts w:ascii="Times New Roman" w:hAnsi="Times New Roman" w:cs="Times New Roman"/>
          <w:sz w:val="24"/>
          <w:szCs w:val="24"/>
        </w:rPr>
      </w:pPr>
      <w:r w:rsidRPr="00324840">
        <w:rPr>
          <w:rFonts w:ascii="Times New Roman" w:hAnsi="Times New Roman" w:cs="Times New Roman"/>
          <w:sz w:val="24"/>
          <w:szCs w:val="24"/>
        </w:rPr>
        <w:t xml:space="preserve">Microbial co-occurrence networks were constructed using the </w:t>
      </w:r>
      <w:proofErr w:type="spellStart"/>
      <w:r w:rsidRPr="00324840">
        <w:rPr>
          <w:rFonts w:ascii="Times New Roman" w:hAnsi="Times New Roman" w:cs="Times New Roman"/>
          <w:sz w:val="24"/>
          <w:szCs w:val="24"/>
        </w:rPr>
        <w:t>microeco</w:t>
      </w:r>
      <w:proofErr w:type="spellEnd"/>
      <w:r w:rsidRPr="00324840">
        <w:rPr>
          <w:rFonts w:ascii="Times New Roman" w:hAnsi="Times New Roman" w:cs="Times New Roman"/>
          <w:sz w:val="24"/>
          <w:szCs w:val="24"/>
        </w:rPr>
        <w:t xml:space="preserve"> package in R </w:t>
      </w:r>
      <w:r w:rsidRPr="00324840">
        <w:rPr>
          <w:rFonts w:ascii="Times New Roman" w:hAnsi="Times New Roman" w:cs="Times New Roman"/>
          <w:sz w:val="24"/>
          <w:szCs w:val="24"/>
        </w:rPr>
        <w:lastRenderedPageBreak/>
        <w:t xml:space="preserve">(Liu et al., 2021). Spearman rank correlations among ASVs were calculated via the </w:t>
      </w:r>
      <w:proofErr w:type="spellStart"/>
      <w:r w:rsidRPr="00324840">
        <w:rPr>
          <w:rFonts w:ascii="Times New Roman" w:hAnsi="Times New Roman" w:cs="Times New Roman"/>
          <w:sz w:val="24"/>
          <w:szCs w:val="24"/>
        </w:rPr>
        <w:t>trans_network</w:t>
      </w:r>
      <w:proofErr w:type="spellEnd"/>
      <w:r w:rsidRPr="00324840">
        <w:rPr>
          <w:rFonts w:ascii="Times New Roman" w:hAnsi="Times New Roman" w:cs="Times New Roman"/>
          <w:sz w:val="24"/>
          <w:szCs w:val="24"/>
        </w:rPr>
        <w:t xml:space="preserve"> function, and the WGCNA correlation calculation framework was invoked (Langfelder &amp; Horvath, 2008). Initial filtering criteria were |ρ| ≥ 0.60 and </w:t>
      </w:r>
      <w:r w:rsidRPr="00324840">
        <w:rPr>
          <w:rFonts w:ascii="Times New Roman" w:hAnsi="Times New Roman" w:cs="Times New Roman"/>
          <w:i/>
          <w:iCs/>
          <w:sz w:val="24"/>
          <w:szCs w:val="24"/>
        </w:rPr>
        <w:t>P</w:t>
      </w:r>
      <w:r w:rsidRPr="00324840">
        <w:rPr>
          <w:rFonts w:ascii="Times New Roman" w:hAnsi="Times New Roman" w:cs="Times New Roman"/>
          <w:sz w:val="24"/>
          <w:szCs w:val="24"/>
        </w:rPr>
        <w:t xml:space="preserve"> &lt; 0.05, with Benjamini-Hochberg FDR correction. Isolated nodes without significant connections were then removed, and </w:t>
      </w:r>
      <w:proofErr w:type="spellStart"/>
      <w:r w:rsidRPr="00324840">
        <w:rPr>
          <w:rFonts w:ascii="Times New Roman" w:hAnsi="Times New Roman" w:cs="Times New Roman"/>
          <w:sz w:val="24"/>
          <w:szCs w:val="24"/>
        </w:rPr>
        <w:t>COR_optimization</w:t>
      </w:r>
      <w:proofErr w:type="spellEnd"/>
      <w:r w:rsidRPr="00324840">
        <w:rPr>
          <w:rFonts w:ascii="Times New Roman" w:hAnsi="Times New Roman" w:cs="Times New Roman"/>
          <w:sz w:val="24"/>
          <w:szCs w:val="24"/>
        </w:rPr>
        <w:t xml:space="preserve"> = FALSE was set. The fast greedy algorithm was used to identify network modules. Network topology parameters including node number, edge number, average degree, network density, clustering related indices, and modularity were calculated.</w:t>
      </w:r>
    </w:p>
    <w:p w14:paraId="45805809" w14:textId="77777777" w:rsidR="00324840" w:rsidRPr="00324840" w:rsidRDefault="00324840" w:rsidP="00324840">
      <w:pPr>
        <w:spacing w:line="480" w:lineRule="auto"/>
        <w:rPr>
          <w:rFonts w:ascii="Times New Roman" w:hAnsi="Times New Roman" w:cs="Times New Roman"/>
          <w:sz w:val="24"/>
          <w:szCs w:val="24"/>
        </w:rPr>
      </w:pPr>
    </w:p>
    <w:p w14:paraId="611626A7" w14:textId="77777777" w:rsidR="00324840" w:rsidRPr="00324840" w:rsidRDefault="00324840" w:rsidP="00324840">
      <w:pPr>
        <w:spacing w:line="480" w:lineRule="auto"/>
        <w:rPr>
          <w:rFonts w:ascii="Times New Roman" w:hAnsi="Times New Roman" w:cs="Times New Roman"/>
          <w:sz w:val="24"/>
          <w:szCs w:val="24"/>
        </w:rPr>
      </w:pPr>
      <w:r w:rsidRPr="00324840">
        <w:rPr>
          <w:rFonts w:ascii="Times New Roman" w:hAnsi="Times New Roman" w:cs="Times New Roman"/>
          <w:sz w:val="24"/>
          <w:szCs w:val="24"/>
        </w:rPr>
        <w:t>The relationship between total relative abundance of invasive plant pollen and total heavy metal concentration in honey was analyzed by regression. Graphs and visualizations were generated using R v4.2.1, Origin 2021, and GraphPad Prism 10.</w:t>
      </w:r>
    </w:p>
    <w:p w14:paraId="2F92838D" w14:textId="77777777" w:rsidR="00C722D4" w:rsidRPr="00324840" w:rsidRDefault="00C722D4" w:rsidP="00324840">
      <w:pPr>
        <w:spacing w:line="480" w:lineRule="auto"/>
        <w:rPr>
          <w:rFonts w:ascii="Times New Roman" w:hAnsi="Times New Roman" w:cs="Times New Roman"/>
          <w:sz w:val="24"/>
          <w:szCs w:val="24"/>
        </w:rPr>
      </w:pPr>
    </w:p>
    <w:p w14:paraId="0B2A2894" w14:textId="77777777" w:rsidR="00324840" w:rsidRPr="00324840" w:rsidRDefault="00324840" w:rsidP="00324840">
      <w:pPr>
        <w:spacing w:line="480" w:lineRule="auto"/>
        <w:rPr>
          <w:rFonts w:ascii="Times New Roman" w:hAnsi="Times New Roman" w:cs="Times New Roman"/>
          <w:sz w:val="24"/>
          <w:szCs w:val="24"/>
        </w:rPr>
      </w:pPr>
    </w:p>
    <w:p w14:paraId="5DEEF688" w14:textId="77777777" w:rsidR="00324840" w:rsidRPr="00324840" w:rsidRDefault="00324840" w:rsidP="00324840">
      <w:pPr>
        <w:spacing w:line="480" w:lineRule="auto"/>
        <w:rPr>
          <w:rFonts w:ascii="Times New Roman" w:hAnsi="Times New Roman" w:cs="Times New Roman"/>
          <w:sz w:val="24"/>
          <w:szCs w:val="24"/>
        </w:rPr>
      </w:pPr>
    </w:p>
    <w:p w14:paraId="1F43E83A" w14:textId="77777777" w:rsidR="00324840" w:rsidRPr="00324840" w:rsidRDefault="00324840" w:rsidP="00324840">
      <w:pPr>
        <w:spacing w:line="480" w:lineRule="auto"/>
        <w:rPr>
          <w:rFonts w:ascii="Times New Roman" w:hAnsi="Times New Roman" w:cs="Times New Roman"/>
          <w:sz w:val="24"/>
          <w:szCs w:val="24"/>
        </w:rPr>
      </w:pPr>
    </w:p>
    <w:p w14:paraId="69351C0A" w14:textId="77777777" w:rsidR="00324840" w:rsidRPr="00324840" w:rsidRDefault="00324840" w:rsidP="00324840">
      <w:pPr>
        <w:spacing w:line="480" w:lineRule="auto"/>
        <w:rPr>
          <w:rFonts w:ascii="Times New Roman" w:hAnsi="Times New Roman" w:cs="Times New Roman"/>
          <w:sz w:val="24"/>
          <w:szCs w:val="24"/>
        </w:rPr>
      </w:pPr>
    </w:p>
    <w:p w14:paraId="4ADDC016" w14:textId="77777777" w:rsidR="00324840" w:rsidRPr="00324840" w:rsidRDefault="00324840" w:rsidP="00324840">
      <w:pPr>
        <w:spacing w:line="480" w:lineRule="auto"/>
        <w:rPr>
          <w:rFonts w:ascii="Times New Roman" w:hAnsi="Times New Roman" w:cs="Times New Roman"/>
          <w:sz w:val="24"/>
          <w:szCs w:val="24"/>
        </w:rPr>
      </w:pPr>
    </w:p>
    <w:p w14:paraId="14B46A6F" w14:textId="77777777" w:rsidR="00324840" w:rsidRPr="00324840" w:rsidRDefault="00324840" w:rsidP="00324840">
      <w:pPr>
        <w:spacing w:line="480" w:lineRule="auto"/>
        <w:rPr>
          <w:rFonts w:ascii="Times New Roman" w:hAnsi="Times New Roman" w:cs="Times New Roman"/>
          <w:sz w:val="24"/>
          <w:szCs w:val="24"/>
        </w:rPr>
      </w:pPr>
    </w:p>
    <w:sectPr w:rsidR="00324840" w:rsidRPr="0032484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A5A9CB" w14:textId="77777777" w:rsidR="004B63FE" w:rsidRDefault="004B63FE" w:rsidP="00324840">
      <w:pPr>
        <w:rPr>
          <w:rFonts w:hint="eastAsia"/>
        </w:rPr>
      </w:pPr>
      <w:r>
        <w:separator/>
      </w:r>
    </w:p>
  </w:endnote>
  <w:endnote w:type="continuationSeparator" w:id="0">
    <w:p w14:paraId="195172D3" w14:textId="77777777" w:rsidR="004B63FE" w:rsidRDefault="004B63FE" w:rsidP="0032484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DA9CDD" w14:textId="77777777" w:rsidR="004B63FE" w:rsidRDefault="004B63FE" w:rsidP="00324840">
      <w:pPr>
        <w:rPr>
          <w:rFonts w:hint="eastAsia"/>
        </w:rPr>
      </w:pPr>
      <w:r>
        <w:separator/>
      </w:r>
    </w:p>
  </w:footnote>
  <w:footnote w:type="continuationSeparator" w:id="0">
    <w:p w14:paraId="01B276CA" w14:textId="77777777" w:rsidR="004B63FE" w:rsidRDefault="004B63FE" w:rsidP="0032484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140"/>
    <w:rsid w:val="00324840"/>
    <w:rsid w:val="00352C77"/>
    <w:rsid w:val="004B63FE"/>
    <w:rsid w:val="006060FF"/>
    <w:rsid w:val="00C722D4"/>
    <w:rsid w:val="00CD41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180A09"/>
  <w15:chartTrackingRefBased/>
  <w15:docId w15:val="{3A040E45-89F6-4E94-963A-364B58D9F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D4140"/>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CD4140"/>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CD4140"/>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CD4140"/>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CD4140"/>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CD4140"/>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CD414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D414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D4140"/>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D414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CD414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CD414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CD4140"/>
    <w:rPr>
      <w:rFonts w:cstheme="majorBidi"/>
      <w:color w:val="2F5496" w:themeColor="accent1" w:themeShade="BF"/>
      <w:sz w:val="28"/>
      <w:szCs w:val="28"/>
    </w:rPr>
  </w:style>
  <w:style w:type="character" w:customStyle="1" w:styleId="50">
    <w:name w:val="标题 5 字符"/>
    <w:basedOn w:val="a0"/>
    <w:link w:val="5"/>
    <w:uiPriority w:val="9"/>
    <w:semiHidden/>
    <w:rsid w:val="00CD4140"/>
    <w:rPr>
      <w:rFonts w:cstheme="majorBidi"/>
      <w:color w:val="2F5496" w:themeColor="accent1" w:themeShade="BF"/>
      <w:sz w:val="24"/>
      <w:szCs w:val="24"/>
    </w:rPr>
  </w:style>
  <w:style w:type="character" w:customStyle="1" w:styleId="60">
    <w:name w:val="标题 6 字符"/>
    <w:basedOn w:val="a0"/>
    <w:link w:val="6"/>
    <w:uiPriority w:val="9"/>
    <w:semiHidden/>
    <w:rsid w:val="00CD4140"/>
    <w:rPr>
      <w:rFonts w:cstheme="majorBidi"/>
      <w:b/>
      <w:bCs/>
      <w:color w:val="2F5496" w:themeColor="accent1" w:themeShade="BF"/>
    </w:rPr>
  </w:style>
  <w:style w:type="character" w:customStyle="1" w:styleId="70">
    <w:name w:val="标题 7 字符"/>
    <w:basedOn w:val="a0"/>
    <w:link w:val="7"/>
    <w:uiPriority w:val="9"/>
    <w:semiHidden/>
    <w:rsid w:val="00CD4140"/>
    <w:rPr>
      <w:rFonts w:cstheme="majorBidi"/>
      <w:b/>
      <w:bCs/>
      <w:color w:val="595959" w:themeColor="text1" w:themeTint="A6"/>
    </w:rPr>
  </w:style>
  <w:style w:type="character" w:customStyle="1" w:styleId="80">
    <w:name w:val="标题 8 字符"/>
    <w:basedOn w:val="a0"/>
    <w:link w:val="8"/>
    <w:uiPriority w:val="9"/>
    <w:semiHidden/>
    <w:rsid w:val="00CD4140"/>
    <w:rPr>
      <w:rFonts w:cstheme="majorBidi"/>
      <w:color w:val="595959" w:themeColor="text1" w:themeTint="A6"/>
    </w:rPr>
  </w:style>
  <w:style w:type="character" w:customStyle="1" w:styleId="90">
    <w:name w:val="标题 9 字符"/>
    <w:basedOn w:val="a0"/>
    <w:link w:val="9"/>
    <w:uiPriority w:val="9"/>
    <w:semiHidden/>
    <w:rsid w:val="00CD4140"/>
    <w:rPr>
      <w:rFonts w:eastAsiaTheme="majorEastAsia" w:cstheme="majorBidi"/>
      <w:color w:val="595959" w:themeColor="text1" w:themeTint="A6"/>
    </w:rPr>
  </w:style>
  <w:style w:type="paragraph" w:styleId="a3">
    <w:name w:val="Title"/>
    <w:basedOn w:val="a"/>
    <w:next w:val="a"/>
    <w:link w:val="a4"/>
    <w:uiPriority w:val="10"/>
    <w:qFormat/>
    <w:rsid w:val="00CD414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D414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D414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D414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D4140"/>
    <w:pPr>
      <w:spacing w:before="160" w:after="160"/>
      <w:jc w:val="center"/>
    </w:pPr>
    <w:rPr>
      <w:i/>
      <w:iCs/>
      <w:color w:val="404040" w:themeColor="text1" w:themeTint="BF"/>
    </w:rPr>
  </w:style>
  <w:style w:type="character" w:customStyle="1" w:styleId="a8">
    <w:name w:val="引用 字符"/>
    <w:basedOn w:val="a0"/>
    <w:link w:val="a7"/>
    <w:uiPriority w:val="29"/>
    <w:rsid w:val="00CD4140"/>
    <w:rPr>
      <w:i/>
      <w:iCs/>
      <w:color w:val="404040" w:themeColor="text1" w:themeTint="BF"/>
    </w:rPr>
  </w:style>
  <w:style w:type="paragraph" w:styleId="a9">
    <w:name w:val="List Paragraph"/>
    <w:basedOn w:val="a"/>
    <w:uiPriority w:val="34"/>
    <w:qFormat/>
    <w:rsid w:val="00CD4140"/>
    <w:pPr>
      <w:ind w:left="720"/>
      <w:contextualSpacing/>
    </w:pPr>
  </w:style>
  <w:style w:type="character" w:styleId="aa">
    <w:name w:val="Intense Emphasis"/>
    <w:basedOn w:val="a0"/>
    <w:uiPriority w:val="21"/>
    <w:qFormat/>
    <w:rsid w:val="00CD4140"/>
    <w:rPr>
      <w:i/>
      <w:iCs/>
      <w:color w:val="2F5496" w:themeColor="accent1" w:themeShade="BF"/>
    </w:rPr>
  </w:style>
  <w:style w:type="paragraph" w:styleId="ab">
    <w:name w:val="Intense Quote"/>
    <w:basedOn w:val="a"/>
    <w:next w:val="a"/>
    <w:link w:val="ac"/>
    <w:uiPriority w:val="30"/>
    <w:qFormat/>
    <w:rsid w:val="00CD41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CD4140"/>
    <w:rPr>
      <w:i/>
      <w:iCs/>
      <w:color w:val="2F5496" w:themeColor="accent1" w:themeShade="BF"/>
    </w:rPr>
  </w:style>
  <w:style w:type="character" w:styleId="ad">
    <w:name w:val="Intense Reference"/>
    <w:basedOn w:val="a0"/>
    <w:uiPriority w:val="32"/>
    <w:qFormat/>
    <w:rsid w:val="00CD4140"/>
    <w:rPr>
      <w:b/>
      <w:bCs/>
      <w:smallCaps/>
      <w:color w:val="2F5496" w:themeColor="accent1" w:themeShade="BF"/>
      <w:spacing w:val="5"/>
    </w:rPr>
  </w:style>
  <w:style w:type="paragraph" w:styleId="ae">
    <w:name w:val="header"/>
    <w:basedOn w:val="a"/>
    <w:link w:val="af"/>
    <w:uiPriority w:val="99"/>
    <w:unhideWhenUsed/>
    <w:rsid w:val="00324840"/>
    <w:pPr>
      <w:tabs>
        <w:tab w:val="center" w:pos="4153"/>
        <w:tab w:val="right" w:pos="8306"/>
      </w:tabs>
      <w:snapToGrid w:val="0"/>
      <w:jc w:val="center"/>
    </w:pPr>
    <w:rPr>
      <w:sz w:val="18"/>
      <w:szCs w:val="18"/>
    </w:rPr>
  </w:style>
  <w:style w:type="character" w:customStyle="1" w:styleId="af">
    <w:name w:val="页眉 字符"/>
    <w:basedOn w:val="a0"/>
    <w:link w:val="ae"/>
    <w:uiPriority w:val="99"/>
    <w:rsid w:val="00324840"/>
    <w:rPr>
      <w:sz w:val="18"/>
      <w:szCs w:val="18"/>
    </w:rPr>
  </w:style>
  <w:style w:type="paragraph" w:styleId="af0">
    <w:name w:val="footer"/>
    <w:basedOn w:val="a"/>
    <w:link w:val="af1"/>
    <w:uiPriority w:val="99"/>
    <w:unhideWhenUsed/>
    <w:rsid w:val="00324840"/>
    <w:pPr>
      <w:tabs>
        <w:tab w:val="center" w:pos="4153"/>
        <w:tab w:val="right" w:pos="8306"/>
      </w:tabs>
      <w:snapToGrid w:val="0"/>
      <w:jc w:val="left"/>
    </w:pPr>
    <w:rPr>
      <w:sz w:val="18"/>
      <w:szCs w:val="18"/>
    </w:rPr>
  </w:style>
  <w:style w:type="character" w:customStyle="1" w:styleId="af1">
    <w:name w:val="页脚 字符"/>
    <w:basedOn w:val="a0"/>
    <w:link w:val="af0"/>
    <w:uiPriority w:val="99"/>
    <w:rsid w:val="0032484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13</Pages>
  <Words>6430</Words>
  <Characters>12927</Characters>
  <Application>Microsoft Office Word</Application>
  <DocSecurity>0</DocSecurity>
  <Lines>315</Lines>
  <Paragraphs>90</Paragraphs>
  <ScaleCrop>false</ScaleCrop>
  <Company/>
  <LinksUpToDate>false</LinksUpToDate>
  <CharactersWithSpaces>19267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云剑 徐</dc:creator>
  <cp:keywords/>
  <dc:description/>
  <cp:lastModifiedBy>云剑 徐</cp:lastModifiedBy>
  <cp:revision>2</cp:revision>
  <dcterms:created xsi:type="dcterms:W3CDTF">2026-10-01T03:55:00Z</dcterms:created>
  <dcterms:modified xsi:type="dcterms:W3CDTF">2026-10-01T03:59:00Z</dcterms:modified>
</cp:coreProperties>
</file>