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b/>
          <w:bCs/>
          <w:sz w:val="18"/>
          <w:szCs w:val="18"/>
        </w:rPr>
        <w:t>Apple Inc.</w:t>
      </w:r>
    </w:p>
    <w:p w:rsidR="00647C25" w:rsidRDefault="00647C25" w:rsidP="00647C25">
      <w:pPr>
        <w:adjustRightInd w:val="0"/>
        <w:spacing w:before="240"/>
        <w:ind w:right="-2880"/>
        <w:jc w:val="center"/>
        <w:rPr>
          <w:rFonts w:ascii="Times" w:eastAsiaTheme="minorEastAsia" w:hAnsi="Times" w:cs="Times"/>
          <w:sz w:val="24"/>
          <w:szCs w:val="24"/>
        </w:rPr>
      </w:pPr>
      <w:r>
        <w:rPr>
          <w:rFonts w:ascii="Times" w:eastAsiaTheme="minorEastAsia" w:hAnsi="Times" w:cs="Times"/>
          <w:b/>
          <w:bCs/>
          <w:sz w:val="18"/>
          <w:szCs w:val="18"/>
        </w:rPr>
        <w:t>Notes to Condensed Consolidated Financial Statements (Unaudited)</w:t>
      </w:r>
    </w:p>
    <w:p w:rsidR="00647C25" w:rsidRDefault="00647C25" w:rsidP="00647C25">
      <w:pPr>
        <w:adjustRightInd w:val="0"/>
        <w:spacing w:before="240"/>
        <w:ind w:right="-2880"/>
        <w:rPr>
          <w:rFonts w:ascii="Times" w:eastAsiaTheme="minorEastAsia" w:hAnsi="Times" w:cs="Times"/>
          <w:sz w:val="24"/>
          <w:szCs w:val="24"/>
        </w:rPr>
      </w:pPr>
      <w:r>
        <w:rPr>
          <w:rFonts w:ascii="Times" w:eastAsiaTheme="minorEastAsia" w:hAnsi="Times" w:cs="Times"/>
          <w:b/>
          <w:bCs/>
          <w:sz w:val="18"/>
          <w:szCs w:val="18"/>
        </w:rPr>
        <w:t>Note 1 – Summary of Significant Accounting Policies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Apple Inc. and its wholly-owned subsidiaries (collectively “Apple” or the “Company”) designs, manufactures and markets mobile communication and media devices, personal computers and portable digital music players, and sells a variety of related software, services, accessories, networking solutions and third-party digital content and applications. The Company’s products and services include iPhone</w:t>
      </w:r>
      <w:r>
        <w:rPr>
          <w:rFonts w:ascii="Times" w:eastAsiaTheme="minorEastAsia" w:hAnsi="Times" w:cs="Times"/>
          <w:sz w:val="20"/>
          <w:szCs w:val="20"/>
        </w:rPr>
        <w:t xml:space="preserve"> ® </w:t>
      </w:r>
      <w:r>
        <w:rPr>
          <w:rFonts w:ascii="Times" w:eastAsiaTheme="minorEastAsia" w:hAnsi="Times" w:cs="Times"/>
          <w:sz w:val="18"/>
          <w:szCs w:val="18"/>
        </w:rPr>
        <w:t>, iPad</w:t>
      </w:r>
      <w:r>
        <w:rPr>
          <w:rFonts w:ascii="Times" w:eastAsiaTheme="minorEastAsia" w:hAnsi="Times" w:cs="Times"/>
          <w:sz w:val="20"/>
          <w:szCs w:val="20"/>
        </w:rPr>
        <w:t xml:space="preserve"> ® </w:t>
      </w:r>
      <w:r>
        <w:rPr>
          <w:rFonts w:ascii="Times" w:eastAsiaTheme="minorEastAsia" w:hAnsi="Times" w:cs="Times"/>
          <w:sz w:val="18"/>
          <w:szCs w:val="18"/>
        </w:rPr>
        <w:t>, Mac</w:t>
      </w:r>
      <w:r>
        <w:rPr>
          <w:rFonts w:ascii="Times" w:eastAsiaTheme="minorEastAsia" w:hAnsi="Times" w:cs="Times"/>
          <w:sz w:val="20"/>
          <w:szCs w:val="20"/>
        </w:rPr>
        <w:t xml:space="preserve"> ® </w:t>
      </w:r>
      <w:r>
        <w:rPr>
          <w:rFonts w:ascii="Times" w:eastAsiaTheme="minorEastAsia" w:hAnsi="Times" w:cs="Times"/>
          <w:sz w:val="18"/>
          <w:szCs w:val="18"/>
        </w:rPr>
        <w:t>, iPod</w:t>
      </w:r>
      <w:r>
        <w:rPr>
          <w:rFonts w:ascii="Times" w:eastAsiaTheme="minorEastAsia" w:hAnsi="Times" w:cs="Times"/>
          <w:sz w:val="20"/>
          <w:szCs w:val="20"/>
        </w:rPr>
        <w:t xml:space="preserve"> ® </w:t>
      </w:r>
      <w:r>
        <w:rPr>
          <w:rFonts w:ascii="Times" w:eastAsiaTheme="minorEastAsia" w:hAnsi="Times" w:cs="Times"/>
          <w:sz w:val="18"/>
          <w:szCs w:val="18"/>
        </w:rPr>
        <w:t>, Apple Watch</w:t>
      </w:r>
      <w:r>
        <w:rPr>
          <w:rFonts w:ascii="Times" w:eastAsiaTheme="minorEastAsia" w:hAnsi="Times" w:cs="Times"/>
          <w:sz w:val="20"/>
          <w:szCs w:val="20"/>
        </w:rPr>
        <w:t xml:space="preserve"> ® </w:t>
      </w:r>
      <w:r>
        <w:rPr>
          <w:rFonts w:ascii="Times" w:eastAsiaTheme="minorEastAsia" w:hAnsi="Times" w:cs="Times"/>
          <w:sz w:val="18"/>
          <w:szCs w:val="18"/>
        </w:rPr>
        <w:t>, Apple TV</w:t>
      </w:r>
      <w:r>
        <w:rPr>
          <w:rFonts w:ascii="Times" w:eastAsiaTheme="minorEastAsia" w:hAnsi="Times" w:cs="Times"/>
          <w:sz w:val="20"/>
          <w:szCs w:val="20"/>
        </w:rPr>
        <w:t xml:space="preserve"> ® </w:t>
      </w:r>
      <w:r>
        <w:rPr>
          <w:rFonts w:ascii="Times" w:eastAsiaTheme="minorEastAsia" w:hAnsi="Times" w:cs="Times"/>
          <w:sz w:val="18"/>
          <w:szCs w:val="18"/>
        </w:rPr>
        <w:t>, a portfolio of consumer and professional software applications, iOS, macOS™, watchOS</w:t>
      </w:r>
      <w:r>
        <w:rPr>
          <w:rFonts w:ascii="Times" w:eastAsiaTheme="minorEastAsia" w:hAnsi="Times" w:cs="Times"/>
          <w:sz w:val="20"/>
          <w:szCs w:val="20"/>
        </w:rPr>
        <w:t xml:space="preserve"> ® </w:t>
      </w:r>
      <w:r>
        <w:rPr>
          <w:rFonts w:ascii="Times" w:eastAsiaTheme="minorEastAsia" w:hAnsi="Times" w:cs="Times"/>
          <w:sz w:val="18"/>
          <w:szCs w:val="18"/>
        </w:rPr>
        <w:t>and tvOS™ operating systems, iCloud</w:t>
      </w:r>
      <w:r>
        <w:rPr>
          <w:rFonts w:ascii="Times" w:eastAsiaTheme="minorEastAsia" w:hAnsi="Times" w:cs="Times"/>
          <w:sz w:val="20"/>
          <w:szCs w:val="20"/>
        </w:rPr>
        <w:t xml:space="preserve"> ® </w:t>
      </w:r>
      <w:r>
        <w:rPr>
          <w:rFonts w:ascii="Times" w:eastAsiaTheme="minorEastAsia" w:hAnsi="Times" w:cs="Times"/>
          <w:sz w:val="18"/>
          <w:szCs w:val="18"/>
        </w:rPr>
        <w:t>, Apple Pay</w:t>
      </w:r>
      <w:r>
        <w:rPr>
          <w:rFonts w:ascii="Times" w:eastAsiaTheme="minorEastAsia" w:hAnsi="Times" w:cs="Times"/>
          <w:sz w:val="20"/>
          <w:szCs w:val="20"/>
        </w:rPr>
        <w:t xml:space="preserve"> ® </w:t>
      </w:r>
      <w:r>
        <w:rPr>
          <w:rFonts w:ascii="Times" w:eastAsiaTheme="minorEastAsia" w:hAnsi="Times" w:cs="Times"/>
          <w:sz w:val="18"/>
          <w:szCs w:val="18"/>
        </w:rPr>
        <w:t>and a variety of accessory, service and support offerings. The Company sells and delivers digital content and applications through the iTunes Store</w:t>
      </w:r>
      <w:r>
        <w:rPr>
          <w:rFonts w:ascii="Times" w:eastAsiaTheme="minorEastAsia" w:hAnsi="Times" w:cs="Times"/>
          <w:sz w:val="20"/>
          <w:szCs w:val="20"/>
        </w:rPr>
        <w:t xml:space="preserve"> ® </w:t>
      </w:r>
      <w:r>
        <w:rPr>
          <w:rFonts w:ascii="Times" w:eastAsiaTheme="minorEastAsia" w:hAnsi="Times" w:cs="Times"/>
          <w:sz w:val="18"/>
          <w:szCs w:val="18"/>
        </w:rPr>
        <w:t>, App Store</w:t>
      </w:r>
      <w:r>
        <w:rPr>
          <w:rFonts w:ascii="Times" w:eastAsiaTheme="minorEastAsia" w:hAnsi="Times" w:cs="Times"/>
          <w:sz w:val="20"/>
          <w:szCs w:val="20"/>
        </w:rPr>
        <w:t xml:space="preserve"> ® </w:t>
      </w:r>
      <w:r>
        <w:rPr>
          <w:rFonts w:ascii="Times" w:eastAsiaTheme="minorEastAsia" w:hAnsi="Times" w:cs="Times"/>
          <w:sz w:val="18"/>
          <w:szCs w:val="18"/>
        </w:rPr>
        <w:t>, Mac App Store, TV App Store, iBooks Store™ and Apple Music</w:t>
      </w:r>
      <w:r>
        <w:rPr>
          <w:rFonts w:ascii="Times" w:eastAsiaTheme="minorEastAsia" w:hAnsi="Times" w:cs="Times"/>
          <w:sz w:val="20"/>
          <w:szCs w:val="20"/>
        </w:rPr>
        <w:t xml:space="preserve"> ® </w:t>
      </w:r>
      <w:r>
        <w:rPr>
          <w:rFonts w:ascii="Times" w:eastAsiaTheme="minorEastAsia" w:hAnsi="Times" w:cs="Times"/>
          <w:sz w:val="18"/>
          <w:szCs w:val="18"/>
        </w:rPr>
        <w:t>(collectively “Digital Content and Services”). The Company sells its products worldwide through its retail stores, online stores and direct sales force, as well as through third-party cellular network carriers, wholesalers, retailers and value-added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Basis of Presentation and Preparation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accompanying condensed consolidated financial statements include the accounts of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in conformity with U.S. generally accepted accounting principles (“GAAP”) requires management to make estimates and assumptions that affect the amounts reported in these condensed consolidated financial statements and accompanying notes. Actual results could differ materially from those estimates. Certain prior period amounts in the condensed consolidated financial statements have been reclassified to conform to the current period’s presentation. These condensed consolidated financial statements and accompanying notes should be read in conjunction with the Company's annual consolidated financial statements and the notes thereto included in its Annual Report on Form 10-K for the fiscal year ended September 24, 2016 (the “ 2016 Form 10-K”).</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Company’s fiscal year is the 52 or 53 -week period that ends on the last Saturday of September. The Company’s fiscal year 2017 will include 53 weeks and ends on September 30, 2017 and its fiscal year 2016 included 52 weeks and ended on September 24, 2016 . A 14th week has been included in the first quarter of 2017, as is done every five or six years , to realign fiscal quarters with calendar quarters. Unless otherwise stated, references to particular years, quarters, months and periods refer to the Company’s fiscal years ended in September and the associated quarters, months and periods of those fiscal years.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Earnings Per Share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Basic earnings per share is computed by dividing income available to common shareholders by the weighted-average number of shares of common stock outstanding during the period. Diluted earnings per share is computed by dividing income available to common shareholders by the weighted-average number of shares of common stock outstanding during the period increased to include the number of additional shares of common stock that would have been outstanding if the potentially dilutive securities had been issued. Potentially dilutive securities include outstanding stock options, shares to be purchased by employees under the Company’s employee stock purchase plan, unvested restricted stock and unvested restricted stock units (“RSUs”). The dilutive effect of potentially dilutive securities is reflected in diluted earnings per share by application of the treasury stock method. Under the treasury stock method, an increase in the fair market value of the Company’s common stock can result in a greater dilutive effect from potentially dilutive securities.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7</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shows the computation of basic and diluted earnings per share for the three months ended December 31, 2016 and December 26, 2015 (net income in millions and shares in thousands):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Numerator:</w:t>
            </w: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income</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17,891</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18,361</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Denominator:</w:t>
            </w: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Weighted-average shares outstanding</w:t>
            </w:r>
          </w:p>
        </w:tc>
        <w:tc>
          <w:tcPr>
            <w:tcW w:w="163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5,298,661</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5,558,930</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Effect of dilutive securities</w:t>
            </w:r>
          </w:p>
        </w:tc>
        <w:tc>
          <w:tcPr>
            <w:tcW w:w="163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29,334</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35,197</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lastRenderedPageBreak/>
              <w:t>Weighted-average diluted shares</w:t>
            </w:r>
          </w:p>
        </w:tc>
        <w:tc>
          <w:tcPr>
            <w:tcW w:w="163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5,327,995</w:t>
            </w: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5,594,127</w:t>
            </w: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Basic earnings per share</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3.38</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3.30</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77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Diluted earnings per share</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3.36</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3.28</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Potentially dilutive securities whose effect would have been antidilutive are excluded from the computation of diluted earnings per share.</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2 – Financial Instruments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b/>
          <w:bCs/>
          <w:sz w:val="18"/>
          <w:szCs w:val="18"/>
        </w:rPr>
        <w:t>Cash, Cash Equivalents and Marketable Securities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tables show the Company’s cash and available-for-sale securities’ adjusted cost, gross unrealized gains, gross unrealized losses and fair value by significant investment category recorded as cash and cash equivalents or short- or long-term marketable securities as of December 31, 2016 and September 24,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554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9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66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8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 </w:t>
            </w: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374"/>
              <w:jc w:val="center"/>
              <w:rPr>
                <w:rFonts w:ascii="Times" w:eastAsiaTheme="minorEastAsia" w:hAnsi="Times" w:cs="Times"/>
                <w:sz w:val="24"/>
                <w:szCs w:val="24"/>
              </w:rPr>
            </w:pPr>
            <w:r>
              <w:rPr>
                <w:rFonts w:ascii="Times" w:eastAsiaTheme="minorEastAsia" w:hAnsi="Times" w:cs="Times"/>
                <w:b/>
                <w:bCs/>
                <w:sz w:val="16"/>
                <w:szCs w:val="16"/>
              </w:rPr>
              <w:t>December 31, 2016</w:t>
            </w: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 </w:t>
            </w:r>
          </w:p>
        </w:tc>
        <w:tc>
          <w:tcPr>
            <w:tcW w:w="983"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Adjusted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Cost</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3"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Unrealized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Gains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Unrealized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Losses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Value</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Cash and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Cash</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Equivalents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Short-Term</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Marketable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Securities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Long-Term</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Marketable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Securities</w:t>
            </w: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Cash</w:t>
            </w:r>
          </w:p>
        </w:tc>
        <w:tc>
          <w:tcPr>
            <w:tcW w:w="15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9,359</w:t>
            </w:r>
          </w:p>
        </w:tc>
        <w:tc>
          <w:tcPr>
            <w:tcW w:w="9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3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9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20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667"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9,359</w:t>
            </w:r>
          </w:p>
        </w:tc>
        <w:tc>
          <w:tcPr>
            <w:tcW w:w="88"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89"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9,359</w:t>
            </w:r>
          </w:p>
        </w:tc>
        <w:tc>
          <w:tcPr>
            <w:tcW w:w="15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09"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12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1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3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Level 1 (1) :</w:t>
            </w:r>
          </w:p>
        </w:tc>
        <w:tc>
          <w:tcPr>
            <w:tcW w:w="9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Money market funds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4,640</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4,640</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4,640</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Mutual funds</w:t>
            </w:r>
          </w:p>
        </w:tc>
        <w:tc>
          <w:tcPr>
            <w:tcW w:w="8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1,004</w:t>
            </w:r>
          </w:p>
        </w:tc>
        <w:tc>
          <w:tcPr>
            <w:tcW w:w="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(137</w:t>
            </w:r>
          </w:p>
        </w:tc>
        <w:tc>
          <w:tcPr>
            <w:tcW w:w="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867</w:t>
            </w:r>
          </w:p>
        </w:tc>
        <w:tc>
          <w:tcPr>
            <w:tcW w:w="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867</w:t>
            </w:r>
          </w:p>
        </w:tc>
        <w:tc>
          <w:tcPr>
            <w:tcW w:w="1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Subtotal</w:t>
            </w:r>
          </w:p>
        </w:tc>
        <w:tc>
          <w:tcPr>
            <w:tcW w:w="89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5,644</w:t>
            </w: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(137</w:t>
            </w:r>
          </w:p>
        </w:tc>
        <w:tc>
          <w:tcPr>
            <w:tcW w:w="20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5,507</w:t>
            </w:r>
          </w:p>
        </w:tc>
        <w:tc>
          <w:tcPr>
            <w:tcW w:w="8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4,640</w:t>
            </w:r>
          </w:p>
        </w:tc>
        <w:tc>
          <w:tcPr>
            <w:tcW w:w="1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867</w:t>
            </w:r>
          </w:p>
        </w:tc>
        <w:tc>
          <w:tcPr>
            <w:tcW w:w="12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Level 2 (2) :</w:t>
            </w:r>
          </w:p>
        </w:tc>
        <w:tc>
          <w:tcPr>
            <w:tcW w:w="9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U.S. Treasury securities</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48,431</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47</w:t>
            </w: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(333</w:t>
            </w:r>
          </w:p>
        </w:tc>
        <w:tc>
          <w:tcPr>
            <w:tcW w:w="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48,145</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1,022</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13,074</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34,049</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U.S. agency securities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4,284</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w:t>
            </w:r>
          </w:p>
        </w:tc>
        <w:tc>
          <w:tcPr>
            <w:tcW w:w="2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(10</w:t>
            </w:r>
          </w:p>
        </w:tc>
        <w:tc>
          <w:tcPr>
            <w:tcW w:w="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4,278</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404</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1,999</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1,875</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Non-U.S. government securities</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7,574</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79</w:t>
            </w: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(136</w:t>
            </w:r>
          </w:p>
        </w:tc>
        <w:tc>
          <w:tcPr>
            <w:tcW w:w="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7,517</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408</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7,109</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60" w:right="-2880" w:hanging="180"/>
              <w:rPr>
                <w:rFonts w:ascii="Times" w:eastAsiaTheme="minorEastAsia" w:hAnsi="Times" w:cs="Times"/>
                <w:sz w:val="24"/>
                <w:szCs w:val="24"/>
              </w:rPr>
            </w:pPr>
            <w:r>
              <w:rPr>
                <w:rFonts w:ascii="Times" w:eastAsiaTheme="minorEastAsia" w:hAnsi="Times" w:cs="Times"/>
                <w:sz w:val="16"/>
                <w:szCs w:val="16"/>
              </w:rPr>
              <w:t>Certificates of deposit and time deposits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5,893</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5,893</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334</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4,089</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1,470</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Commercial paper</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3,750</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3,750</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536</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3,214</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Corporate securities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140,697</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469</w:t>
            </w:r>
          </w:p>
        </w:tc>
        <w:tc>
          <w:tcPr>
            <w:tcW w:w="2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(737</w:t>
            </w:r>
          </w:p>
        </w:tc>
        <w:tc>
          <w:tcPr>
            <w:tcW w:w="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140,429</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76</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20,283</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120,070</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Municipal securities</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955</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(9</w:t>
            </w:r>
          </w:p>
        </w:tc>
        <w:tc>
          <w:tcPr>
            <w:tcW w:w="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946</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111</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835</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60" w:right="-2880" w:hanging="180"/>
              <w:rPr>
                <w:rFonts w:ascii="Times" w:eastAsiaTheme="minorEastAsia" w:hAnsi="Times" w:cs="Times"/>
                <w:sz w:val="24"/>
                <w:szCs w:val="24"/>
              </w:rPr>
            </w:pPr>
            <w:r>
              <w:rPr>
                <w:rFonts w:ascii="Times" w:eastAsiaTheme="minorEastAsia" w:hAnsi="Times" w:cs="Times"/>
                <w:sz w:val="16"/>
                <w:szCs w:val="16"/>
              </w:rPr>
              <w:t>Mortgage- and asset-backed securities</w:t>
            </w:r>
          </w:p>
        </w:tc>
        <w:tc>
          <w:tcPr>
            <w:tcW w:w="89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20,486</w:t>
            </w: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23</w:t>
            </w:r>
          </w:p>
        </w:tc>
        <w:tc>
          <w:tcPr>
            <w:tcW w:w="21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(243</w:t>
            </w:r>
          </w:p>
        </w:tc>
        <w:tc>
          <w:tcPr>
            <w:tcW w:w="20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20,266</w:t>
            </w:r>
          </w:p>
        </w:tc>
        <w:tc>
          <w:tcPr>
            <w:tcW w:w="8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36</w:t>
            </w:r>
          </w:p>
        </w:tc>
        <w:tc>
          <w:tcPr>
            <w:tcW w:w="12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20,230</w:t>
            </w: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Subtotal</w:t>
            </w:r>
          </w:p>
        </w:tc>
        <w:tc>
          <w:tcPr>
            <w:tcW w:w="8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232,070</w:t>
            </w:r>
          </w:p>
        </w:tc>
        <w:tc>
          <w:tcPr>
            <w:tcW w:w="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622</w:t>
            </w:r>
          </w:p>
        </w:tc>
        <w:tc>
          <w:tcPr>
            <w:tcW w:w="21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9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(1,468</w:t>
            </w:r>
          </w:p>
        </w:tc>
        <w:tc>
          <w:tcPr>
            <w:tcW w:w="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231,224</w:t>
            </w:r>
          </w:p>
        </w:tc>
        <w:tc>
          <w:tcPr>
            <w:tcW w:w="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2,372</w:t>
            </w:r>
          </w:p>
        </w:tc>
        <w:tc>
          <w:tcPr>
            <w:tcW w:w="1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43,214</w:t>
            </w:r>
          </w:p>
        </w:tc>
        <w:tc>
          <w:tcPr>
            <w:tcW w:w="1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185,638</w:t>
            </w: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236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Total</w:t>
            </w:r>
          </w:p>
        </w:tc>
        <w:tc>
          <w:tcPr>
            <w:tcW w:w="15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247,073</w:t>
            </w:r>
          </w:p>
        </w:tc>
        <w:tc>
          <w:tcPr>
            <w:tcW w:w="9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3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622</w:t>
            </w:r>
          </w:p>
        </w:tc>
        <w:tc>
          <w:tcPr>
            <w:tcW w:w="21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9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(1,605</w:t>
            </w:r>
          </w:p>
        </w:tc>
        <w:tc>
          <w:tcPr>
            <w:tcW w:w="20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66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246,090</w:t>
            </w:r>
          </w:p>
        </w:tc>
        <w:tc>
          <w:tcPr>
            <w:tcW w:w="88"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8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16,371</w:t>
            </w:r>
          </w:p>
        </w:tc>
        <w:tc>
          <w:tcPr>
            <w:tcW w:w="15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0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44,081</w:t>
            </w:r>
          </w:p>
        </w:tc>
        <w:tc>
          <w:tcPr>
            <w:tcW w:w="12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1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3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185,638</w:t>
            </w:r>
          </w:p>
        </w:tc>
        <w:tc>
          <w:tcPr>
            <w:tcW w:w="11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8</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554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4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66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8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374"/>
              <w:jc w:val="center"/>
              <w:rPr>
                <w:rFonts w:ascii="Times" w:eastAsiaTheme="minorEastAsia" w:hAnsi="Times" w:cs="Times"/>
                <w:sz w:val="24"/>
                <w:szCs w:val="24"/>
              </w:rPr>
            </w:pPr>
            <w:r>
              <w:rPr>
                <w:rFonts w:ascii="Times" w:eastAsiaTheme="minorEastAsia" w:hAnsi="Times" w:cs="Times"/>
                <w:b/>
                <w:bCs/>
                <w:sz w:val="16"/>
                <w:szCs w:val="16"/>
              </w:rPr>
              <w:t>September 24, 2016</w:t>
            </w: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1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983"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Adjusted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Cost</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07"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Unrealized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Gains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71"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Unrealized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Losses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Value</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Cash and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Cash</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Equivalents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Short-Term</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Marketable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Securities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Long-Term</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Marketable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Securities</w:t>
            </w: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Cash</w:t>
            </w:r>
          </w:p>
        </w:tc>
        <w:tc>
          <w:tcPr>
            <w:tcW w:w="15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8,601</w:t>
            </w:r>
          </w:p>
        </w:tc>
        <w:tc>
          <w:tcPr>
            <w:tcW w:w="9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8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9"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26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667"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8,601</w:t>
            </w:r>
          </w:p>
        </w:tc>
        <w:tc>
          <w:tcPr>
            <w:tcW w:w="88"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89"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8,601</w:t>
            </w:r>
          </w:p>
        </w:tc>
        <w:tc>
          <w:tcPr>
            <w:tcW w:w="15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09"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12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1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3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0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Level 1 (1) :</w:t>
            </w:r>
          </w:p>
        </w:tc>
        <w:tc>
          <w:tcPr>
            <w:tcW w:w="9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0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Money market funds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3,666</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3,666</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3,666</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Mutual funds</w:t>
            </w:r>
          </w:p>
        </w:tc>
        <w:tc>
          <w:tcPr>
            <w:tcW w:w="8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1,407</w:t>
            </w:r>
          </w:p>
        </w:tc>
        <w:tc>
          <w:tcPr>
            <w:tcW w:w="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(146</w:t>
            </w:r>
          </w:p>
        </w:tc>
        <w:tc>
          <w:tcPr>
            <w:tcW w:w="26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1,261</w:t>
            </w:r>
          </w:p>
        </w:tc>
        <w:tc>
          <w:tcPr>
            <w:tcW w:w="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1,261</w:t>
            </w:r>
          </w:p>
        </w:tc>
        <w:tc>
          <w:tcPr>
            <w:tcW w:w="1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Subtotal</w:t>
            </w:r>
          </w:p>
        </w:tc>
        <w:tc>
          <w:tcPr>
            <w:tcW w:w="89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5,073</w:t>
            </w: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(146</w:t>
            </w:r>
          </w:p>
        </w:tc>
        <w:tc>
          <w:tcPr>
            <w:tcW w:w="26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4,927</w:t>
            </w:r>
          </w:p>
        </w:tc>
        <w:tc>
          <w:tcPr>
            <w:tcW w:w="8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3,666</w:t>
            </w:r>
          </w:p>
        </w:tc>
        <w:tc>
          <w:tcPr>
            <w:tcW w:w="1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1,261</w:t>
            </w:r>
          </w:p>
        </w:tc>
        <w:tc>
          <w:tcPr>
            <w:tcW w:w="12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0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Level 2 (2) :</w:t>
            </w:r>
          </w:p>
        </w:tc>
        <w:tc>
          <w:tcPr>
            <w:tcW w:w="9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0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U.S. Treasury securities</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41,697</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319</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42,012</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1,527</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13,492</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26,993</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U.S. agency securities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7,543</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16</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7,559</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2,762</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2,441</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2,356</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Non-U.S. government securities</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7,609</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259</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(27</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7,841</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110</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818</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6,913</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60" w:right="-2880" w:hanging="180"/>
              <w:rPr>
                <w:rFonts w:ascii="Times" w:eastAsiaTheme="minorEastAsia" w:hAnsi="Times" w:cs="Times"/>
                <w:sz w:val="24"/>
                <w:szCs w:val="24"/>
              </w:rPr>
            </w:pPr>
            <w:r>
              <w:rPr>
                <w:rFonts w:ascii="Times" w:eastAsiaTheme="minorEastAsia" w:hAnsi="Times" w:cs="Times"/>
                <w:sz w:val="16"/>
                <w:szCs w:val="16"/>
              </w:rPr>
              <w:t>Certificates of deposit and time deposits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6,598</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6,598</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1,108</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3,897</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1,593</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Commercial paper</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7,433</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7,433</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2,468</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4,965</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Corporate securities</w:t>
            </w:r>
          </w:p>
        </w:tc>
        <w:tc>
          <w:tcPr>
            <w:tcW w:w="8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131,166</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1,409</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(206</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132,369</w:t>
            </w:r>
          </w:p>
        </w:tc>
        <w:tc>
          <w:tcPr>
            <w:tcW w:w="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242</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19,599</w:t>
            </w:r>
          </w:p>
        </w:tc>
        <w:tc>
          <w:tcPr>
            <w:tcW w:w="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112,528</w:t>
            </w: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80" w:right="-2880"/>
              <w:rPr>
                <w:rFonts w:ascii="Times" w:eastAsiaTheme="minorEastAsia" w:hAnsi="Times" w:cs="Times"/>
                <w:sz w:val="24"/>
                <w:szCs w:val="24"/>
              </w:rPr>
            </w:pPr>
            <w:r>
              <w:rPr>
                <w:rFonts w:ascii="Times" w:eastAsiaTheme="minorEastAsia" w:hAnsi="Times" w:cs="Times"/>
                <w:sz w:val="16"/>
                <w:szCs w:val="16"/>
              </w:rPr>
              <w:t>Municipal securities</w:t>
            </w:r>
          </w:p>
        </w:tc>
        <w:tc>
          <w:tcPr>
            <w:tcW w:w="8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956</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5</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961</w:t>
            </w:r>
          </w:p>
        </w:tc>
        <w:tc>
          <w:tcPr>
            <w:tcW w:w="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167</w:t>
            </w:r>
          </w:p>
        </w:tc>
        <w:tc>
          <w:tcPr>
            <w:tcW w:w="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794</w:t>
            </w: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60" w:right="-2880" w:hanging="180"/>
              <w:rPr>
                <w:rFonts w:ascii="Times" w:eastAsiaTheme="minorEastAsia" w:hAnsi="Times" w:cs="Times"/>
                <w:sz w:val="24"/>
                <w:szCs w:val="24"/>
              </w:rPr>
            </w:pPr>
            <w:r>
              <w:rPr>
                <w:rFonts w:ascii="Times" w:eastAsiaTheme="minorEastAsia" w:hAnsi="Times" w:cs="Times"/>
                <w:sz w:val="16"/>
                <w:szCs w:val="16"/>
              </w:rPr>
              <w:t>Mortgage- and asset-backed securities</w:t>
            </w:r>
          </w:p>
        </w:tc>
        <w:tc>
          <w:tcPr>
            <w:tcW w:w="89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19,134</w:t>
            </w: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178</w:t>
            </w:r>
          </w:p>
        </w:tc>
        <w:tc>
          <w:tcPr>
            <w:tcW w:w="1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(28</w:t>
            </w:r>
          </w:p>
        </w:tc>
        <w:tc>
          <w:tcPr>
            <w:tcW w:w="26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19,284</w:t>
            </w:r>
          </w:p>
        </w:tc>
        <w:tc>
          <w:tcPr>
            <w:tcW w:w="8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w:t>
            </w:r>
          </w:p>
        </w:tc>
        <w:tc>
          <w:tcPr>
            <w:tcW w:w="1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31</w:t>
            </w:r>
          </w:p>
        </w:tc>
        <w:tc>
          <w:tcPr>
            <w:tcW w:w="12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19,253</w:t>
            </w: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Subtotal</w:t>
            </w:r>
          </w:p>
        </w:tc>
        <w:tc>
          <w:tcPr>
            <w:tcW w:w="8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222,136</w:t>
            </w:r>
          </w:p>
        </w:tc>
        <w:tc>
          <w:tcPr>
            <w:tcW w:w="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2,186</w:t>
            </w:r>
          </w:p>
        </w:tc>
        <w:tc>
          <w:tcPr>
            <w:tcW w:w="1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(265</w:t>
            </w:r>
          </w:p>
        </w:tc>
        <w:tc>
          <w:tcPr>
            <w:tcW w:w="26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224,057</w:t>
            </w:r>
          </w:p>
        </w:tc>
        <w:tc>
          <w:tcPr>
            <w:tcW w:w="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6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8,217</w:t>
            </w:r>
          </w:p>
        </w:tc>
        <w:tc>
          <w:tcPr>
            <w:tcW w:w="1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5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45,410</w:t>
            </w:r>
          </w:p>
        </w:tc>
        <w:tc>
          <w:tcPr>
            <w:tcW w:w="1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6"/>
                <w:szCs w:val="16"/>
              </w:rPr>
              <w:t>170,430</w:t>
            </w: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0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9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236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Total</w:t>
            </w:r>
          </w:p>
        </w:tc>
        <w:tc>
          <w:tcPr>
            <w:tcW w:w="15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235,810</w:t>
            </w:r>
          </w:p>
        </w:tc>
        <w:tc>
          <w:tcPr>
            <w:tcW w:w="9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8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2,186</w:t>
            </w:r>
          </w:p>
        </w:tc>
        <w:tc>
          <w:tcPr>
            <w:tcW w:w="15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4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(411</w:t>
            </w:r>
          </w:p>
        </w:tc>
        <w:tc>
          <w:tcPr>
            <w:tcW w:w="26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6"/>
                <w:szCs w:val="16"/>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66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237,585</w:t>
            </w:r>
          </w:p>
        </w:tc>
        <w:tc>
          <w:tcPr>
            <w:tcW w:w="88"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8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20,484</w:t>
            </w:r>
          </w:p>
        </w:tc>
        <w:tc>
          <w:tcPr>
            <w:tcW w:w="15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0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46,671</w:t>
            </w:r>
          </w:p>
        </w:tc>
        <w:tc>
          <w:tcPr>
            <w:tcW w:w="12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1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83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170,430</w:t>
            </w:r>
          </w:p>
        </w:tc>
        <w:tc>
          <w:tcPr>
            <w:tcW w:w="11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left="720" w:right="-2880" w:hanging="360"/>
        <w:rPr>
          <w:rFonts w:ascii="Times" w:eastAsiaTheme="minorEastAsia" w:hAnsi="Times" w:cs="Times"/>
          <w:sz w:val="24"/>
          <w:szCs w:val="24"/>
        </w:rPr>
      </w:pPr>
      <w:r>
        <w:rPr>
          <w:rFonts w:ascii="Times" w:eastAsiaTheme="minorEastAsia" w:hAnsi="Times" w:cs="Times"/>
          <w:sz w:val="12"/>
          <w:szCs w:val="12"/>
        </w:rPr>
        <w:t> </w:t>
      </w:r>
    </w:p>
    <w:tbl>
      <w:tblPr>
        <w:tblW w:w="0" w:type="auto"/>
        <w:tblBorders>
          <w:top w:val="nil"/>
          <w:left w:val="nil"/>
          <w:right w:val="nil"/>
        </w:tblBorders>
        <w:tblLayout w:type="fixed"/>
        <w:tblLook w:val="0000" w:firstRow="0" w:lastRow="0" w:firstColumn="0" w:lastColumn="0" w:noHBand="0" w:noVBand="0"/>
      </w:tblPr>
      <w:tblGrid>
        <w:gridCol w:w="1100"/>
        <w:gridCol w:w="9929"/>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92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(1)</w:t>
            </w:r>
          </w:p>
        </w:tc>
        <w:tc>
          <w:tcPr>
            <w:tcW w:w="992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Level 1 fair value estimates are based on quoted prices in active markets for identical assets or liabilities.</w:t>
            </w:r>
          </w:p>
        </w:tc>
      </w:tr>
    </w:tbl>
    <w:p w:rsidR="00647C25" w:rsidRDefault="00647C25" w:rsidP="00647C25">
      <w:pPr>
        <w:adjustRightInd w:val="0"/>
        <w:spacing w:line="6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(2)</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bl>
    <w:p w:rsidR="00647C25" w:rsidRDefault="00647C25" w:rsidP="00647C25">
      <w:pPr>
        <w:adjustRightInd w:val="0"/>
        <w:spacing w:before="75"/>
        <w:ind w:right="-2880"/>
        <w:jc w:val="both"/>
        <w:rPr>
          <w:rFonts w:ascii="Times" w:eastAsiaTheme="minorEastAsia" w:hAnsi="Times" w:cs="Times"/>
          <w:sz w:val="24"/>
          <w:szCs w:val="24"/>
        </w:rPr>
      </w:pPr>
    </w:p>
    <w:p w:rsidR="00647C25" w:rsidRDefault="00647C25" w:rsidP="00647C25">
      <w:pPr>
        <w:adjustRightInd w:val="0"/>
        <w:spacing w:before="75"/>
        <w:ind w:right="-2880"/>
        <w:jc w:val="both"/>
        <w:rPr>
          <w:rFonts w:ascii="Times" w:eastAsiaTheme="minorEastAsia" w:hAnsi="Times" w:cs="Times"/>
          <w:sz w:val="24"/>
          <w:szCs w:val="24"/>
        </w:rPr>
      </w:pPr>
      <w:r>
        <w:rPr>
          <w:rFonts w:ascii="Times" w:eastAsiaTheme="minorEastAsia" w:hAnsi="Times" w:cs="Times"/>
          <w:sz w:val="18"/>
          <w:szCs w:val="18"/>
        </w:rPr>
        <w:t>The Company may sell certain of its marketable securities prior to their stated maturities for strategic reasons including, but not limited to, anticipation of credit deterioration and duration management. The maturities of the Company’s long-term marketable securities generally range from one to five years .</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considers the declines in market value of its marketable securities investment portfolio to be temporary in nature. The Company typically invests in highly-rated securities, and its investment policy generally limits the amount of credit exposure to any one issuer. The policy generally requires investments to be investment grade, with the primary objective of minimizing the potential risk of principal loss. Fair values were determined for each individual security in the investment portfolio. When evaluating an investment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investment before recovery of the investment’s cost basis. As of December 31, 2016 , the Company does not consider any of its investments to be other-than-temporarily impaired.</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Derivative Financial Instruments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may use derivatives to partially offset its business exposure to foreign currency and interest rate risk on expected future cash flows, on net investments in certain foreign subsidiaries and on certain existing assets and liabilities. However, the Company may choose not to hedge certain exposures for a variety of reasons including, but not limited to, accounting considerations and the prohibitive economic cost of hedging particular exposures. There can be no assurance the hedges will offset more than a portion of the financial impact resulting from movements in foreign currency exchange or interest rates.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lastRenderedPageBreak/>
        <w:t>To help protect gross margins from fluctuations in foreign currency exchange rates, certain of the Company’s subsidiaries whose functional currency is the U.S. dollar may hedge a portion of forecasted foreign currency revenue, and subsidiaries whose functional currency is not the U.S. dollar and who sell in local currencies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typically hedges portions of its forecasted foreign currency exposure associated with revenue and inventory purchases, typically for up to 12 months .</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9</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To help protect the net investment in a foreign operation from adverse changes in foreign currency exchange rates, the Company may enter into foreign currency forward and option contracts to offset the changes in the carrying amounts of these investments due to fluctuations in foreign currency exchange rates. In addition, the Company may use non-derivative financial instruments, such as its foreign currency-denominated debt, as economic hedges of its net investments in certain foreign subsidiaries. In both of these cases, the Company designates these instruments as net investment hedges.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may also enter into non-designated foreign currency contracts to partially offset the foreign currency exchange gains and losses generated by the re-measurement of certain assets and liabilities denominated in non-functional currencies.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may enter into interest rate swaps, options, or other instruments to manage interest rate risk. These instruments may offset a portion of changes in income or expense, or changes in fair value of the Company’s term debt or investments. The Company designates these instruments as either cash flow or fair value hedges. The Company’s hedged interest rate transactions as of December 31, 2016 are expected to be recognized within 10 years .</w:t>
      </w:r>
    </w:p>
    <w:p w:rsidR="00647C25" w:rsidRDefault="00647C25" w:rsidP="00647C25">
      <w:pPr>
        <w:adjustRightInd w:val="0"/>
        <w:spacing w:before="330"/>
        <w:ind w:right="-2880"/>
        <w:rPr>
          <w:rFonts w:ascii="Times" w:eastAsiaTheme="minorEastAsia" w:hAnsi="Times" w:cs="Times"/>
          <w:sz w:val="24"/>
          <w:szCs w:val="24"/>
        </w:rPr>
      </w:pPr>
      <w:r>
        <w:rPr>
          <w:rFonts w:ascii="Times" w:eastAsiaTheme="minorEastAsia" w:hAnsi="Times" w:cs="Times"/>
          <w:i/>
          <w:iCs/>
          <w:sz w:val="18"/>
          <w:szCs w:val="18"/>
        </w:rPr>
        <w:t>Cash Flow Hedges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effective portions of cash flow hedges are recorded in accumulated other comprehensive income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income/(expense), net in the same period as the related income or expense is recognized. The ineffective portions and amounts excluded from the effectiveness testing of cash flow hedges are recognized in other income/(expense), net.</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immediately into other income/(expense), net. Any subsequent changes in fair value of such derivative instruments are reflected in other income/(expense), net unless they are re-designated as hedges of other transactions.</w:t>
      </w:r>
    </w:p>
    <w:p w:rsidR="00647C25" w:rsidRDefault="00647C25" w:rsidP="00647C25">
      <w:pPr>
        <w:adjustRightInd w:val="0"/>
        <w:spacing w:before="330"/>
        <w:ind w:right="-2880"/>
        <w:rPr>
          <w:rFonts w:ascii="Times" w:eastAsiaTheme="minorEastAsia" w:hAnsi="Times" w:cs="Times"/>
          <w:sz w:val="24"/>
          <w:szCs w:val="24"/>
        </w:rPr>
      </w:pPr>
      <w:r>
        <w:rPr>
          <w:rFonts w:ascii="Times" w:eastAsiaTheme="minorEastAsia" w:hAnsi="Times" w:cs="Times"/>
          <w:i/>
          <w:iCs/>
          <w:sz w:val="18"/>
          <w:szCs w:val="18"/>
        </w:rPr>
        <w:t>Net Investment Hedges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effective portions of net investment hedges are recorded in other comprehensive income (“OCI”) as a part of the cumulative translation adjustment. The ineffective portions and amounts excluded from the effectiveness testing of net investment hedges are recognized in other income/(expense), net.</w:t>
      </w:r>
    </w:p>
    <w:p w:rsidR="00647C25" w:rsidRDefault="00647C25" w:rsidP="00647C25">
      <w:pPr>
        <w:adjustRightInd w:val="0"/>
        <w:spacing w:before="330"/>
        <w:ind w:right="-2880"/>
        <w:rPr>
          <w:rFonts w:ascii="Times" w:eastAsiaTheme="minorEastAsia" w:hAnsi="Times" w:cs="Times"/>
          <w:sz w:val="24"/>
          <w:szCs w:val="24"/>
        </w:rPr>
      </w:pPr>
      <w:r>
        <w:rPr>
          <w:rFonts w:ascii="Times" w:eastAsiaTheme="minorEastAsia" w:hAnsi="Times" w:cs="Times"/>
          <w:i/>
          <w:iCs/>
          <w:sz w:val="18"/>
          <w:szCs w:val="18"/>
        </w:rPr>
        <w:t>Fair Value Hedges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Gains and losses related to changes in fair value hedges are recognized in earnings along with a corresponding loss or gain related to the change in value of the underlying hedged item.</w:t>
      </w:r>
    </w:p>
    <w:p w:rsidR="00647C25" w:rsidRDefault="00647C25" w:rsidP="00647C25">
      <w:pPr>
        <w:adjustRightInd w:val="0"/>
        <w:spacing w:before="330"/>
        <w:ind w:right="-2880"/>
        <w:rPr>
          <w:rFonts w:ascii="Times" w:eastAsiaTheme="minorEastAsia" w:hAnsi="Times" w:cs="Times"/>
          <w:sz w:val="24"/>
          <w:szCs w:val="24"/>
        </w:rPr>
      </w:pPr>
      <w:r>
        <w:rPr>
          <w:rFonts w:ascii="Times" w:eastAsiaTheme="minorEastAsia" w:hAnsi="Times" w:cs="Times"/>
          <w:i/>
          <w:iCs/>
          <w:sz w:val="18"/>
          <w:szCs w:val="18"/>
        </w:rPr>
        <w:t>Non-Designated Derivatives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Derivatives that are not designated as hedging instruments are adjusted to fair value through earnings in the financial statement line item to which the derivative relates. As a result, during the three months ended December 31, 2016 , the Company recognized gains in net sales, cost of sales and other income/(expense), net of $273 million , $332 million and $508 million , respectively.</w:t>
      </w:r>
    </w:p>
    <w:p w:rsidR="00647C25" w:rsidRDefault="00647C25" w:rsidP="00647C25">
      <w:pPr>
        <w:adjustRightInd w:val="0"/>
        <w:spacing w:before="270"/>
        <w:ind w:right="-2880"/>
        <w:jc w:val="both"/>
        <w:rPr>
          <w:rFonts w:ascii="Times" w:eastAsiaTheme="minorEastAsia" w:hAnsi="Times" w:cs="Times"/>
          <w:sz w:val="24"/>
          <w:szCs w:val="24"/>
        </w:rPr>
      </w:pPr>
      <w:r>
        <w:rPr>
          <w:rFonts w:ascii="Times" w:eastAsiaTheme="minorEastAsia" w:hAnsi="Times" w:cs="Times"/>
          <w:sz w:val="18"/>
          <w:szCs w:val="18"/>
        </w:rPr>
        <w:t>The Company records all derivatives in the Condensed Consolidated Balance Sheets at fair value. The Company’s accounting treatment for these derivative instruments is based on its hedge designation. The following tables show the Company’s derivative instruments at gross fair value as of December 31, 2016 and September 24,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596"/>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6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61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4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60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7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694"/>
              <w:jc w:val="center"/>
              <w:rPr>
                <w:rFonts w:ascii="Times" w:eastAsiaTheme="minorEastAsia" w:hAnsi="Times" w:cs="Times"/>
                <w:sz w:val="24"/>
                <w:szCs w:val="24"/>
              </w:rPr>
            </w:pPr>
            <w:r>
              <w:rPr>
                <w:rFonts w:ascii="Times" w:eastAsiaTheme="minorEastAsia" w:hAnsi="Times" w:cs="Times"/>
                <w:b/>
                <w:bCs/>
                <w:sz w:val="16"/>
                <w:szCs w:val="16"/>
              </w:rPr>
              <w:t>December 31, 2016</w:t>
            </w: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69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272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 Value of</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Derivatives Designated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as Hedge Instruments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2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 Value of</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Derivatives Not Designated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as Hedge Instruments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Total</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 Value</w:t>
            </w: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lastRenderedPageBreak/>
              <w:t>Derivative assets (1) :</w:t>
            </w:r>
          </w:p>
        </w:tc>
        <w:tc>
          <w:tcPr>
            <w:tcW w:w="272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6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6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1,453</w:t>
            </w:r>
          </w:p>
        </w:tc>
        <w:tc>
          <w:tcPr>
            <w:tcW w:w="4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74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87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1,104</w:t>
            </w:r>
          </w:p>
        </w:tc>
        <w:tc>
          <w:tcPr>
            <w:tcW w:w="6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2,557</w:t>
            </w:r>
          </w:p>
        </w:tc>
        <w:tc>
          <w:tcPr>
            <w:tcW w:w="13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62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6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186</w:t>
            </w:r>
          </w:p>
        </w:tc>
        <w:tc>
          <w:tcPr>
            <w:tcW w:w="4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87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w:t>
            </w:r>
          </w:p>
        </w:tc>
        <w:tc>
          <w:tcPr>
            <w:tcW w:w="6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7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186</w:t>
            </w:r>
          </w:p>
        </w:tc>
        <w:tc>
          <w:tcPr>
            <w:tcW w:w="13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2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2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Derivative liabilities (2) :</w:t>
            </w:r>
          </w:p>
        </w:tc>
        <w:tc>
          <w:tcPr>
            <w:tcW w:w="272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6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61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977</w:t>
            </w:r>
          </w:p>
        </w:tc>
        <w:tc>
          <w:tcPr>
            <w:tcW w:w="4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74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87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536</w:t>
            </w:r>
          </w:p>
        </w:tc>
        <w:tc>
          <w:tcPr>
            <w:tcW w:w="6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1,513</w:t>
            </w:r>
          </w:p>
        </w:tc>
        <w:tc>
          <w:tcPr>
            <w:tcW w:w="13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382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62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61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331</w:t>
            </w:r>
          </w:p>
        </w:tc>
        <w:tc>
          <w:tcPr>
            <w:tcW w:w="4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87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w:t>
            </w:r>
          </w:p>
        </w:tc>
        <w:tc>
          <w:tcPr>
            <w:tcW w:w="6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7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331</w:t>
            </w:r>
          </w:p>
        </w:tc>
        <w:tc>
          <w:tcPr>
            <w:tcW w:w="13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10</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596"/>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6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55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6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5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694"/>
              <w:jc w:val="center"/>
              <w:rPr>
                <w:rFonts w:ascii="Times" w:eastAsiaTheme="minorEastAsia" w:hAnsi="Times" w:cs="Times"/>
                <w:sz w:val="24"/>
                <w:szCs w:val="24"/>
              </w:rPr>
            </w:pPr>
            <w:r>
              <w:rPr>
                <w:rFonts w:ascii="Times" w:eastAsiaTheme="minorEastAsia" w:hAnsi="Times" w:cs="Times"/>
                <w:b/>
                <w:bCs/>
                <w:sz w:val="16"/>
                <w:szCs w:val="16"/>
              </w:rPr>
              <w:t>September 24, 2016</w:t>
            </w: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7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277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 Value of</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Derivatives Designated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as Hedge Instruments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77"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 Value of</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Derivatives Not Designated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as Hedge Instruments</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Total</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Fair Value</w:t>
            </w: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Derivative assets  (1) :</w:t>
            </w:r>
          </w:p>
        </w:tc>
        <w:tc>
          <w:tcPr>
            <w:tcW w:w="277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6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54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518</w:t>
            </w:r>
          </w:p>
        </w:tc>
        <w:tc>
          <w:tcPr>
            <w:tcW w:w="5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8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153</w:t>
            </w:r>
          </w:p>
        </w:tc>
        <w:tc>
          <w:tcPr>
            <w:tcW w:w="6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9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671</w:t>
            </w:r>
          </w:p>
        </w:tc>
        <w:tc>
          <w:tcPr>
            <w:tcW w:w="1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6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54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728</w:t>
            </w:r>
          </w:p>
        </w:tc>
        <w:tc>
          <w:tcPr>
            <w:tcW w:w="5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8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w:t>
            </w:r>
          </w:p>
        </w:tc>
        <w:tc>
          <w:tcPr>
            <w:tcW w:w="6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9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728</w:t>
            </w:r>
          </w:p>
        </w:tc>
        <w:tc>
          <w:tcPr>
            <w:tcW w:w="1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7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Derivative liabilities (2) :</w:t>
            </w:r>
          </w:p>
        </w:tc>
        <w:tc>
          <w:tcPr>
            <w:tcW w:w="277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6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54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935</w:t>
            </w:r>
          </w:p>
        </w:tc>
        <w:tc>
          <w:tcPr>
            <w:tcW w:w="5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8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134</w:t>
            </w:r>
          </w:p>
        </w:tc>
        <w:tc>
          <w:tcPr>
            <w:tcW w:w="6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9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1,069</w:t>
            </w:r>
          </w:p>
        </w:tc>
        <w:tc>
          <w:tcPr>
            <w:tcW w:w="1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373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6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54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7</w:t>
            </w:r>
          </w:p>
        </w:tc>
        <w:tc>
          <w:tcPr>
            <w:tcW w:w="5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8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8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w:t>
            </w:r>
          </w:p>
        </w:tc>
        <w:tc>
          <w:tcPr>
            <w:tcW w:w="6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9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7</w:t>
            </w:r>
          </w:p>
        </w:tc>
        <w:tc>
          <w:tcPr>
            <w:tcW w:w="1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jc w:val="center"/>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(1)</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The fair value of derivative assets is measured using Level 2 fair value inputs and is recorded as other current assets in the Condensed Consolidated Balance Sheets.</w:t>
            </w:r>
          </w:p>
        </w:tc>
      </w:tr>
    </w:tbl>
    <w:p w:rsidR="00647C25" w:rsidRDefault="00647C25" w:rsidP="00647C25">
      <w:pPr>
        <w:adjustRightInd w:val="0"/>
        <w:spacing w:line="6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(2)</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The fair value of derivative liabilities is measured using Level 2 fair value inputs and is recorded as accrued expenses in the Condensed Consolidated Balance Sheets.</w:t>
            </w:r>
          </w:p>
        </w:tc>
      </w:tr>
    </w:tbl>
    <w:p w:rsidR="00647C25" w:rsidRDefault="00647C25" w:rsidP="00647C25">
      <w:pPr>
        <w:adjustRightInd w:val="0"/>
        <w:spacing w:before="60"/>
        <w:ind w:right="-2880"/>
        <w:jc w:val="both"/>
        <w:rPr>
          <w:rFonts w:ascii="Times" w:eastAsiaTheme="minorEastAsia" w:hAnsi="Times" w:cs="Times"/>
          <w:sz w:val="24"/>
          <w:szCs w:val="24"/>
        </w:rPr>
      </w:pPr>
    </w:p>
    <w:p w:rsidR="00647C25" w:rsidRDefault="00647C25" w:rsidP="00647C25">
      <w:pPr>
        <w:adjustRightInd w:val="0"/>
        <w:spacing w:before="75"/>
        <w:ind w:right="-2880"/>
        <w:jc w:val="both"/>
        <w:rPr>
          <w:rFonts w:ascii="Times" w:eastAsiaTheme="minorEastAsia" w:hAnsi="Times" w:cs="Times"/>
          <w:sz w:val="24"/>
          <w:szCs w:val="24"/>
        </w:rPr>
      </w:pPr>
      <w:r>
        <w:rPr>
          <w:rFonts w:ascii="Times" w:eastAsiaTheme="minorEastAsia" w:hAnsi="Times" w:cs="Times"/>
          <w:sz w:val="18"/>
          <w:szCs w:val="18"/>
        </w:rPr>
        <w:t>The following table shows the pre-tax gains and losses of the Company’s derivative and non-derivative instruments designated as cash flow, net investment and fair value hedges in OCI and the Condensed Consolidated Statements of Operations for the three months ended December 31, 2016 and December 26, 2015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1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2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Gains/(Losses) recognized in OCI – effective portion:</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Cash flow hedges:</w:t>
            </w:r>
          </w:p>
        </w:tc>
        <w:tc>
          <w:tcPr>
            <w:tcW w:w="18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1,727</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326</w:t>
            </w: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159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w:t>
            </w:r>
          </w:p>
        </w:tc>
        <w:tc>
          <w:tcPr>
            <w:tcW w:w="276"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2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8</w:t>
            </w:r>
          </w:p>
        </w:tc>
        <w:tc>
          <w:tcPr>
            <w:tcW w:w="30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1260" w:right="-2880"/>
              <w:rPr>
                <w:rFonts w:ascii="Times" w:eastAsiaTheme="minorEastAsia" w:hAnsi="Times" w:cs="Times"/>
                <w:sz w:val="24"/>
                <w:szCs w:val="24"/>
              </w:rPr>
            </w:pPr>
            <w:r>
              <w:rPr>
                <w:rFonts w:ascii="Times" w:eastAsiaTheme="minorEastAsia" w:hAnsi="Times" w:cs="Times"/>
                <w:sz w:val="18"/>
                <w:szCs w:val="18"/>
              </w:rPr>
              <w:t>Total</w:t>
            </w:r>
          </w:p>
        </w:tc>
        <w:tc>
          <w:tcPr>
            <w:tcW w:w="27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1,734</w:t>
            </w:r>
          </w:p>
        </w:tc>
        <w:tc>
          <w:tcPr>
            <w:tcW w:w="27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334</w:t>
            </w:r>
          </w:p>
        </w:tc>
        <w:tc>
          <w:tcPr>
            <w:tcW w:w="309"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investment hedges:</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lastRenderedPageBreak/>
              <w:t>Foreign exchange contracts</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Foreign currency debt</w:t>
            </w:r>
          </w:p>
        </w:tc>
        <w:tc>
          <w:tcPr>
            <w:tcW w:w="15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122</w:t>
            </w: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260" w:right="-2880"/>
              <w:rPr>
                <w:rFonts w:ascii="Times" w:eastAsiaTheme="minorEastAsia" w:hAnsi="Times" w:cs="Times"/>
                <w:sz w:val="24"/>
                <w:szCs w:val="24"/>
              </w:rPr>
            </w:pPr>
            <w:r>
              <w:rPr>
                <w:rFonts w:ascii="Times" w:eastAsiaTheme="minorEastAsia" w:hAnsi="Times" w:cs="Times"/>
                <w:sz w:val="18"/>
                <w:szCs w:val="18"/>
              </w:rPr>
              <w:t>Total</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122</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Gains/(Losses) reclassified from AOCI into net income – effective portion:</w:t>
            </w:r>
          </w:p>
        </w:tc>
        <w:tc>
          <w:tcPr>
            <w:tcW w:w="18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Cash flow hedges:</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(511</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515</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15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w:t>
            </w: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1260" w:right="-2880"/>
              <w:rPr>
                <w:rFonts w:ascii="Times" w:eastAsiaTheme="minorEastAsia" w:hAnsi="Times" w:cs="Times"/>
                <w:sz w:val="24"/>
                <w:szCs w:val="24"/>
              </w:rPr>
            </w:pPr>
            <w:r>
              <w:rPr>
                <w:rFonts w:ascii="Times" w:eastAsiaTheme="minorEastAsia" w:hAnsi="Times" w:cs="Times"/>
                <w:sz w:val="18"/>
                <w:szCs w:val="18"/>
              </w:rPr>
              <w:t>Total</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(512</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511</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Gains/(Losses) on derivative instruments:</w:t>
            </w:r>
          </w:p>
        </w:tc>
        <w:tc>
          <w:tcPr>
            <w:tcW w:w="18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Fair value hedges:</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(872</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(111</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Gains/(Losses) related to hedged items:</w:t>
            </w:r>
          </w:p>
        </w:tc>
        <w:tc>
          <w:tcPr>
            <w:tcW w:w="18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Fair value hedges:</w:t>
            </w:r>
          </w:p>
        </w:tc>
        <w:tc>
          <w:tcPr>
            <w:tcW w:w="18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5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7"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872</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1"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111</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11</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shows the notional amounts of the Company’s outstanding derivative instruments and credit risk amounts associated with outstanding or unsettled derivative instruments as of December 31, 2016 and September 24,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084"/>
        <w:gridCol w:w="128"/>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6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8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8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8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5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6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0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December 31, 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September 24, 2016</w:t>
            </w: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36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Notional</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Amount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3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Credit Risk</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Amount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Notional</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Amount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Credit Risk</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Amount</w:t>
            </w: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Instruments designated as accounting hedges:</w:t>
            </w:r>
          </w:p>
        </w:tc>
        <w:tc>
          <w:tcPr>
            <w:tcW w:w="136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1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8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40,526</w:t>
            </w:r>
          </w:p>
        </w:tc>
        <w:tc>
          <w:tcPr>
            <w:tcW w:w="1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9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1,453</w:t>
            </w:r>
          </w:p>
        </w:tc>
        <w:tc>
          <w:tcPr>
            <w:tcW w:w="15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44,678</w:t>
            </w:r>
          </w:p>
        </w:tc>
        <w:tc>
          <w:tcPr>
            <w:tcW w:w="1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518</w:t>
            </w:r>
          </w:p>
        </w:tc>
        <w:tc>
          <w:tcPr>
            <w:tcW w:w="2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16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8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24,500</w:t>
            </w:r>
          </w:p>
        </w:tc>
        <w:tc>
          <w:tcPr>
            <w:tcW w:w="12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9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186</w:t>
            </w:r>
          </w:p>
        </w:tc>
        <w:tc>
          <w:tcPr>
            <w:tcW w:w="15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8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24,500</w:t>
            </w:r>
          </w:p>
        </w:tc>
        <w:tc>
          <w:tcPr>
            <w:tcW w:w="11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728</w:t>
            </w:r>
          </w:p>
        </w:tc>
        <w:tc>
          <w:tcPr>
            <w:tcW w:w="22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Instruments not designated as accounting hedges:</w:t>
            </w:r>
          </w:p>
        </w:tc>
        <w:tc>
          <w:tcPr>
            <w:tcW w:w="136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03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1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8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57,144</w:t>
            </w:r>
          </w:p>
        </w:tc>
        <w:tc>
          <w:tcPr>
            <w:tcW w:w="1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9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1,104</w:t>
            </w:r>
          </w:p>
        </w:tc>
        <w:tc>
          <w:tcPr>
            <w:tcW w:w="15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54,305</w:t>
            </w:r>
          </w:p>
        </w:tc>
        <w:tc>
          <w:tcPr>
            <w:tcW w:w="1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153</w:t>
            </w:r>
          </w:p>
        </w:tc>
        <w:tc>
          <w:tcPr>
            <w:tcW w:w="2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 xml:space="preserve">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w:t>
      </w:r>
      <w:r>
        <w:rPr>
          <w:rFonts w:ascii="Times" w:eastAsiaTheme="minorEastAsia" w:hAnsi="Times" w:cs="Times"/>
          <w:sz w:val="18"/>
          <w:szCs w:val="18"/>
        </w:rPr>
        <w:lastRenderedPageBreak/>
        <w:t>derivative liabilities at their gross fair values in its Condensed Consolidated Balance Sheets. The net cash collateral received by the Company related to derivative instruments under its collateral security arrangements was $1.1 billion as of December 31, 2016 and $163 million as of September 24, 2016 , which were recorded as accrued expenses in the Condensed Consolidated Balance Sheets.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Under master netting arrangements with the respective counterparties to the Company’s derivative contracts, the Company is allowed to net settle transactions with a single net amount payable by one party to the other. As of December 31, 2016 and September 24, 2016 , the potential effects of these rights of set-off associated with the Company’s derivative contracts, including the effects of collateral, would be a reduction to both derivative assets and derivative liabilities of $2.7 billion  and $1.5 billion , respectively, resulting in a net derivative liability of $222 million and a net derivative asset of $160 million , respectively.</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Accounts Receivable</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i/>
          <w:iCs/>
          <w:sz w:val="18"/>
          <w:szCs w:val="18"/>
        </w:rPr>
        <w:t>Trade Receivables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has considerable trade receivables outstanding with its third-party cellular network carriers, wholesalers, retailers, value-added resellers, small and mid-sized businesses and education, enterprise and government customers. The Company generally does not require collateral from its customers; however, the Company will require collateral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As of December 31, 2016 and September 24, 2016 , the Company had one customer that represented 10% or more of total trade receivables, which accounted for 11% and 10% , respectively. The Company’s cellular network carriers accounted for 55% and 63% of trade receivables as of December 31, 2016 and September 24, 2016 , respectively.</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Vendor Non-Trade Receivables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has non-trade receivables from certain of its manufacturing vendors resulting from the sale of components to these vendors who manufacture sub-assemblies or assemble final products for the Company. The Company purchases these components directly from suppliers. Vendor non-trade receivables from three of the Company’s vendors accounted for 49% , 14% and 13% of total vendor non-trade receivables as of December 31, 2016 , and two of the Company’s vendors accounted for 47% and 21% of total vendor non-trade receivables as of September 24, 2016 .</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12</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3 – Condensed Consolidated Financial Statement Details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tables show the Company’s condensed consolidated financial statement details as of December 31, 2016 and September 24, 2016 (in millions):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Property, Plant and Equipment, Net</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8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September 24,</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88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8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8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8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Land and buildings</w:t>
            </w:r>
          </w:p>
        </w:tc>
        <w:tc>
          <w:tcPr>
            <w:tcW w:w="24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10,932</w:t>
            </w:r>
          </w:p>
        </w:tc>
        <w:tc>
          <w:tcPr>
            <w:tcW w:w="24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8"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10,185</w:t>
            </w:r>
          </w:p>
        </w:tc>
        <w:tc>
          <w:tcPr>
            <w:tcW w:w="27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Machinery, equipment and internal-use software</w:t>
            </w:r>
          </w:p>
        </w:tc>
        <w:tc>
          <w:tcPr>
            <w:tcW w:w="157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45,309</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44,543</w:t>
            </w:r>
          </w:p>
        </w:tc>
        <w:tc>
          <w:tcPr>
            <w:tcW w:w="2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Leasehold improvements</w:t>
            </w:r>
          </w:p>
        </w:tc>
        <w:tc>
          <w:tcPr>
            <w:tcW w:w="15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6,518</w:t>
            </w:r>
          </w:p>
        </w:tc>
        <w:tc>
          <w:tcPr>
            <w:tcW w:w="2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6,517</w:t>
            </w:r>
          </w:p>
        </w:tc>
        <w:tc>
          <w:tcPr>
            <w:tcW w:w="2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Gross property, plant and equipment</w:t>
            </w:r>
          </w:p>
        </w:tc>
        <w:tc>
          <w:tcPr>
            <w:tcW w:w="157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62,759</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61,245</w:t>
            </w:r>
          </w:p>
        </w:tc>
        <w:tc>
          <w:tcPr>
            <w:tcW w:w="2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Accumulated depreciation and amortization</w:t>
            </w:r>
          </w:p>
        </w:tc>
        <w:tc>
          <w:tcPr>
            <w:tcW w:w="15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(36,249</w:t>
            </w:r>
          </w:p>
        </w:tc>
        <w:tc>
          <w:tcPr>
            <w:tcW w:w="2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(34,235</w:t>
            </w:r>
          </w:p>
        </w:tc>
        <w:tc>
          <w:tcPr>
            <w:tcW w:w="2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6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 property, plant and equipment, net</w:t>
            </w:r>
          </w:p>
        </w:tc>
        <w:tc>
          <w:tcPr>
            <w:tcW w:w="242"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26,510</w:t>
            </w:r>
          </w:p>
        </w:tc>
        <w:tc>
          <w:tcPr>
            <w:tcW w:w="242"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2"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8"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27,010</w:t>
            </w:r>
          </w:p>
        </w:tc>
        <w:tc>
          <w:tcPr>
            <w:tcW w:w="272"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Other Non-Current Liabilities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September 24,</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9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lastRenderedPageBreak/>
              <w:t>Deferred tax liabilities</w:t>
            </w:r>
          </w:p>
        </w:tc>
        <w:tc>
          <w:tcPr>
            <w:tcW w:w="28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26,948</w:t>
            </w:r>
          </w:p>
        </w:tc>
        <w:tc>
          <w:tcPr>
            <w:tcW w:w="15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7"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26,019</w:t>
            </w:r>
          </w:p>
        </w:tc>
        <w:tc>
          <w:tcPr>
            <w:tcW w:w="18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non-current liabilities</w:t>
            </w:r>
          </w:p>
        </w:tc>
        <w:tc>
          <w:tcPr>
            <w:tcW w:w="163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10,953</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10,055</w:t>
            </w: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69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 other non-current liabilities</w:t>
            </w:r>
          </w:p>
        </w:tc>
        <w:tc>
          <w:tcPr>
            <w:tcW w:w="28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37,901</w:t>
            </w: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36,074</w:t>
            </w:r>
          </w:p>
        </w:tc>
        <w:tc>
          <w:tcPr>
            <w:tcW w:w="18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Other Income/(Expense), Net</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shows the detail of other income/(expense), net for the three months ended December 31, 2016 and December 26, 2015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9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Interest and dividend income</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1,224</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941</w:t>
            </w:r>
          </w:p>
        </w:tc>
        <w:tc>
          <w:tcPr>
            <w:tcW w:w="34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Interest expense</w:t>
            </w:r>
          </w:p>
        </w:tc>
        <w:tc>
          <w:tcPr>
            <w:tcW w:w="158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(525</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1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(276</w:t>
            </w:r>
          </w:p>
        </w:tc>
        <w:tc>
          <w:tcPr>
            <w:tcW w:w="34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4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4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income/(expense), net</w:t>
            </w:r>
          </w:p>
        </w:tc>
        <w:tc>
          <w:tcPr>
            <w:tcW w:w="158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122</w:t>
            </w: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(263</w:t>
            </w:r>
          </w:p>
        </w:tc>
        <w:tc>
          <w:tcPr>
            <w:tcW w:w="3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4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 other income/(expense), net</w:t>
            </w:r>
          </w:p>
        </w:tc>
        <w:tc>
          <w:tcPr>
            <w:tcW w:w="276"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6"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821</w:t>
            </w:r>
          </w:p>
        </w:tc>
        <w:tc>
          <w:tcPr>
            <w:tcW w:w="276"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3"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402</w:t>
            </w:r>
          </w:p>
        </w:tc>
        <w:tc>
          <w:tcPr>
            <w:tcW w:w="343"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4 – Acquired Intangible Assets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acquired intangible assets with definite useful lives primarily consist of patents and licenses. The following table summarizes the components of gross and net acquired intangible asset balances as of December 31, 2016 and September 24,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6060"/>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11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1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11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41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694"/>
              <w:jc w:val="center"/>
              <w:rPr>
                <w:rFonts w:ascii="Times" w:eastAsiaTheme="minorEastAsia" w:hAnsi="Times" w:cs="Times"/>
                <w:sz w:val="24"/>
                <w:szCs w:val="24"/>
              </w:rPr>
            </w:pPr>
            <w:r>
              <w:rPr>
                <w:rFonts w:ascii="Times" w:eastAsiaTheme="minorEastAsia" w:hAnsi="Times" w:cs="Times"/>
                <w:b/>
                <w:bCs/>
                <w:sz w:val="16"/>
                <w:szCs w:val="16"/>
              </w:rPr>
              <w:t>December 31, 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694"/>
              <w:jc w:val="center"/>
              <w:rPr>
                <w:rFonts w:ascii="Times" w:eastAsiaTheme="minorEastAsia" w:hAnsi="Times" w:cs="Times"/>
                <w:sz w:val="24"/>
                <w:szCs w:val="24"/>
              </w:rPr>
            </w:pPr>
            <w:r>
              <w:rPr>
                <w:rFonts w:ascii="Times" w:eastAsiaTheme="minorEastAsia" w:hAnsi="Times" w:cs="Times"/>
                <w:b/>
                <w:bCs/>
                <w:sz w:val="16"/>
                <w:szCs w:val="16"/>
              </w:rPr>
              <w:t>September 24, 2016</w:t>
            </w: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40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11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Gross</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Carrying Amount</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1"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Accumulated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Amortization</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Net </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Carrying Amount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47"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Gross</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Carrying Amount</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1"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Accumulated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Amortization</w:t>
            </w:r>
          </w:p>
        </w:tc>
        <w:tc>
          <w:tcPr>
            <w:tcW w:w="19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Net </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Carrying Amount</w:t>
            </w: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2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11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210" w:right="-2880" w:hanging="180"/>
              <w:rPr>
                <w:rFonts w:ascii="Times" w:eastAsiaTheme="minorEastAsia" w:hAnsi="Times" w:cs="Times"/>
                <w:sz w:val="24"/>
                <w:szCs w:val="24"/>
              </w:rPr>
            </w:pPr>
            <w:r>
              <w:rPr>
                <w:rFonts w:ascii="Times" w:eastAsiaTheme="minorEastAsia" w:hAnsi="Times" w:cs="Times"/>
                <w:sz w:val="18"/>
                <w:szCs w:val="18"/>
              </w:rPr>
              <w:t>Definite-lived and amortizable acquired intangible assets</w:t>
            </w: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7,472</w:t>
            </w: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1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(4,724</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2,748</w:t>
            </w: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73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8,912</w:t>
            </w:r>
          </w:p>
        </w:tc>
        <w:tc>
          <w:tcPr>
            <w:tcW w:w="11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17"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(5,806</w:t>
            </w:r>
          </w:p>
        </w:tc>
        <w:tc>
          <w:tcPr>
            <w:tcW w:w="24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3,106</w:t>
            </w:r>
          </w:p>
        </w:tc>
        <w:tc>
          <w:tcPr>
            <w:tcW w:w="1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1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210" w:right="-2880" w:hanging="180"/>
              <w:rPr>
                <w:rFonts w:ascii="Times" w:eastAsiaTheme="minorEastAsia" w:hAnsi="Times" w:cs="Times"/>
                <w:sz w:val="24"/>
                <w:szCs w:val="24"/>
              </w:rPr>
            </w:pPr>
            <w:r>
              <w:rPr>
                <w:rFonts w:ascii="Times" w:eastAsiaTheme="minorEastAsia" w:hAnsi="Times" w:cs="Times"/>
                <w:sz w:val="18"/>
                <w:szCs w:val="18"/>
              </w:rPr>
              <w:t>Indefinite-lived and non-amortizable acquired intangible assets</w:t>
            </w:r>
          </w:p>
        </w:tc>
        <w:tc>
          <w:tcPr>
            <w:tcW w:w="1016"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100</w:t>
            </w: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5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6"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100</w:t>
            </w: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3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100</w:t>
            </w: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5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16"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100</w:t>
            </w: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1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311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600" w:right="-2880" w:hanging="180"/>
              <w:rPr>
                <w:rFonts w:ascii="Times" w:eastAsiaTheme="minorEastAsia" w:hAnsi="Times" w:cs="Times"/>
                <w:sz w:val="24"/>
                <w:szCs w:val="24"/>
              </w:rPr>
            </w:pPr>
            <w:r>
              <w:rPr>
                <w:rFonts w:ascii="Times" w:eastAsiaTheme="minorEastAsia" w:hAnsi="Times" w:cs="Times"/>
                <w:sz w:val="18"/>
                <w:szCs w:val="18"/>
              </w:rPr>
              <w:t>Total acquired intangible assets</w:t>
            </w:r>
          </w:p>
        </w:tc>
        <w:tc>
          <w:tcPr>
            <w:tcW w:w="20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8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7,572</w:t>
            </w:r>
          </w:p>
        </w:tc>
        <w:tc>
          <w:tcPr>
            <w:tcW w:w="113"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1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(4,724</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8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2,848</w:t>
            </w:r>
          </w:p>
        </w:tc>
        <w:tc>
          <w:tcPr>
            <w:tcW w:w="113"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73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9,012</w:t>
            </w:r>
          </w:p>
        </w:tc>
        <w:tc>
          <w:tcPr>
            <w:tcW w:w="113"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1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(5,806</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8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3,206</w:t>
            </w:r>
          </w:p>
        </w:tc>
        <w:tc>
          <w:tcPr>
            <w:tcW w:w="113"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13</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r>
        <w:rPr>
          <w:rFonts w:ascii="Times" w:eastAsiaTheme="minorEastAsia" w:hAnsi="Times" w:cs="Times"/>
          <w:b/>
          <w:bCs/>
          <w:sz w:val="18"/>
          <w:szCs w:val="18"/>
        </w:rPr>
        <w:t>Note 5 – Income Taxes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As of December 31, 2016 , the Company recorded gross unrecognized tax benefits of $8.5 billion , of which $3.0 billion , if recognized, would affect the Company’s effective tax rate. As of September 24, 2016 , the total amount of gross unrecognized tax benefits was $7.7 billion , of which $2.8 billion , if recognized, would have affected the Company’s effective tax rate. The Company’s total gross unrecognized tax benefits are classified as other non-current liabilities in the Condensed Consolidated Balance Sheets. The Company had $1.2 billion and $1.0 billion of gross interest and penalties accrued as of December 31, 2016 and September 24, 2016 , respectively, which are classified as other non-current liabilities in the Condensed Consolidated Balance Sheets.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believes that an adequate provision has been made for any adjustments that may result from tax examinations. However, the outcome of tax audits cannot be predicted with certainty. If any issues addressed in the Company’s tax audits are resolved in a manner not consistent with its expectations, the Company could be required to adjust its provision for income taxes in the period such resolution occurs. Although timing of the resolution and/or closure of audits is not certain, the Company believes it is reasonably possible that its gross unrecognized tax benefits could decrease (whether by payment, release or a combination of both) in the next 12 months by as much as $1.1 billion .</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 xml:space="preserve">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w:t>
      </w:r>
      <w:r>
        <w:rPr>
          <w:rFonts w:ascii="Times" w:eastAsiaTheme="minorEastAsia" w:hAnsi="Times" w:cs="Times"/>
          <w:sz w:val="18"/>
          <w:szCs w:val="18"/>
        </w:rPr>
        <w:lastRenderedPageBreak/>
        <w:t>the State Aid Decision. While the European Commission announced a recovery amount of up to €13 billion ,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 The Company believes that any incremental Irish corporate income taxes potentially due related to the State Aid Decision would be creditable against U.S. taxes.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6 – Debt</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b/>
          <w:bCs/>
          <w:sz w:val="18"/>
          <w:szCs w:val="18"/>
        </w:rPr>
        <w:t>Commercial Paper</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issues unsecured short-term promissory notes (“Commercial Paper”) pursuant to a commercial paper program. The Company uses net proceeds from the commercial paper program for general corporate purposes, including dividends and share repurchases. As of December 31, 2016 and September 24, 2016 , the Company had $10.5 billion and $8.1 billion of Commercial Paper outstanding, respectively, with maturities generally less than nine months . The weighted-average interest rate of the Company’s Commercial Paper was 0.61% as of December 31, 2016 and 0.45% as of September 24, 2016 .</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provides a summary of cash flows associated with the issuance and maturities of Commercial Paper for the three months ended December 31, 2016 and December 26, 2015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1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Maturities less than 90 days:</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Proceeds from/(Repayments of) commercial paper, net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1,550</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(393</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Maturities greater than 90 days:</w:t>
            </w:r>
          </w:p>
        </w:tc>
        <w:tc>
          <w:tcPr>
            <w:tcW w:w="18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Proceeds from commercial paper</w:t>
            </w:r>
          </w:p>
        </w:tc>
        <w:tc>
          <w:tcPr>
            <w:tcW w:w="16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2,544</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492</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Repayments of commercial paper</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(1,709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(1,339</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540" w:right="-2880"/>
              <w:rPr>
                <w:rFonts w:ascii="Times" w:eastAsiaTheme="minorEastAsia" w:hAnsi="Times" w:cs="Times"/>
                <w:sz w:val="24"/>
                <w:szCs w:val="24"/>
              </w:rPr>
            </w:pPr>
            <w:r>
              <w:rPr>
                <w:rFonts w:ascii="Times" w:eastAsiaTheme="minorEastAsia" w:hAnsi="Times" w:cs="Times"/>
                <w:sz w:val="18"/>
                <w:szCs w:val="18"/>
              </w:rPr>
              <w:t>Proceeds from/(Repayments of) commercial paper, net</w:t>
            </w:r>
          </w:p>
        </w:tc>
        <w:tc>
          <w:tcPr>
            <w:tcW w:w="1601"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835</w:t>
            </w:r>
          </w:p>
        </w:tc>
        <w:tc>
          <w:tcPr>
            <w:tcW w:w="27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73"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(847</w:t>
            </w:r>
          </w:p>
        </w:tc>
        <w:tc>
          <w:tcPr>
            <w:tcW w:w="24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63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1260" w:right="-2880"/>
              <w:rPr>
                <w:rFonts w:ascii="Times" w:eastAsiaTheme="minorEastAsia" w:hAnsi="Times" w:cs="Times"/>
                <w:sz w:val="24"/>
                <w:szCs w:val="24"/>
              </w:rPr>
            </w:pPr>
            <w:r>
              <w:rPr>
                <w:rFonts w:ascii="Times" w:eastAsiaTheme="minorEastAsia" w:hAnsi="Times" w:cs="Times"/>
                <w:sz w:val="18"/>
                <w:szCs w:val="18"/>
              </w:rPr>
              <w:t>Total change in commercial paper, net</w:t>
            </w:r>
          </w:p>
        </w:tc>
        <w:tc>
          <w:tcPr>
            <w:tcW w:w="27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2,385</w:t>
            </w:r>
          </w:p>
        </w:tc>
        <w:tc>
          <w:tcPr>
            <w:tcW w:w="27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(1,240</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14</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Long-Term Debt</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As of December 31, 2016 , the Company had outstanding floating- and fixed-rate notes with varying maturities for an aggregate principal amount of $77.4 billion (collectively the “Notes”). The Notes are senior unsecured obligations, and interest is payable in arrears, quarterly for the U.S. dollar-denominated and Australian dollar-denominated floating-rate notes, semi-annually for the U.S. dollar-denominated, Australian dollar-denominated, British pound-denominated and Japanese yen-denominated fixed-rate notes and annually for the euro-denominated and Swiss franc-denominated fixed-rate notes. The following table provides a summary of the Company’s term debt as of December 31, 2016 and September 24, 2016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340"/>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6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6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 </w:t>
            </w:r>
          </w:p>
        </w:tc>
        <w:tc>
          <w:tcPr>
            <w:tcW w:w="119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4"/>
                <w:szCs w:val="14"/>
              </w:rPr>
              <w:t>Maturities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14"/>
              <w:jc w:val="center"/>
              <w:rPr>
                <w:rFonts w:ascii="Times" w:eastAsiaTheme="minorEastAsia" w:hAnsi="Times" w:cs="Times"/>
                <w:sz w:val="24"/>
                <w:szCs w:val="24"/>
              </w:rPr>
            </w:pPr>
            <w:r>
              <w:rPr>
                <w:rFonts w:ascii="Times" w:eastAsiaTheme="minorEastAsia" w:hAnsi="Times" w:cs="Times"/>
                <w:b/>
                <w:bCs/>
                <w:sz w:val="14"/>
                <w:szCs w:val="14"/>
              </w:rPr>
              <w:t>December 31, 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14"/>
              <w:jc w:val="center"/>
              <w:rPr>
                <w:rFonts w:ascii="Times" w:eastAsiaTheme="minorEastAsia" w:hAnsi="Times" w:cs="Times"/>
                <w:sz w:val="24"/>
                <w:szCs w:val="24"/>
              </w:rPr>
            </w:pPr>
            <w:r>
              <w:rPr>
                <w:rFonts w:ascii="Times" w:eastAsiaTheme="minorEastAsia" w:hAnsi="Times" w:cs="Times"/>
                <w:b/>
                <w:bCs/>
                <w:sz w:val="14"/>
                <w:szCs w:val="14"/>
              </w:rPr>
              <w:t>September 24, 2016</w:t>
            </w: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9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 </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80"/>
              <w:rPr>
                <w:rFonts w:ascii="Times" w:eastAsiaTheme="minorEastAsia" w:hAnsi="Times" w:cs="Times"/>
                <w:sz w:val="24"/>
                <w:szCs w:val="24"/>
              </w:rPr>
            </w:pPr>
          </w:p>
        </w:tc>
        <w:tc>
          <w:tcPr>
            <w:tcW w:w="138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4"/>
                <w:szCs w:val="14"/>
              </w:rPr>
              <w:t>Amount</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sz w:val="14"/>
                <w:szCs w:val="14"/>
              </w:rPr>
              <w:t>(in millions)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4"/>
                <w:szCs w:val="14"/>
              </w:rPr>
              <w:t>Effective</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4"/>
                <w:szCs w:val="14"/>
              </w:rPr>
              <w:t>Interest Rate</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4"/>
                <w:szCs w:val="14"/>
              </w:rPr>
              <w:t>Amount</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sz w:val="14"/>
                <w:szCs w:val="14"/>
              </w:rPr>
              <w:t>(in millions)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4"/>
                <w:szCs w:val="14"/>
              </w:rPr>
              <w:t>Effective</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4"/>
                <w:szCs w:val="14"/>
              </w:rPr>
              <w:t>Interest Rate</w:t>
            </w:r>
          </w:p>
        </w:tc>
        <w:tc>
          <w:tcPr>
            <w:tcW w:w="141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2013 debt issuance of $17.0 billion:</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Floating-rate notes</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2018</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w:t>
            </w:r>
          </w:p>
        </w:tc>
        <w:tc>
          <w:tcPr>
            <w:tcW w:w="8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4"/>
                <w:szCs w:val="14"/>
              </w:rPr>
              <w:t>2,000</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1.10%</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w:t>
            </w:r>
          </w:p>
        </w:tc>
        <w:tc>
          <w:tcPr>
            <w:tcW w:w="8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4"/>
                <w:szCs w:val="14"/>
              </w:rPr>
              <w:t>2,000</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1.10%</w:t>
            </w: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Fixed-rate 1.000% - 3.850% notes</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2018 - 2043</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12,500</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1.08% - 3.91%</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12,500</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1.08% - 3.91%</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2014 debt issuance of $12.0 billion:</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lastRenderedPageBreak/>
              <w:t>Floating-rate notes</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2017 - 2019</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2,000</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0.95% - 1.18%</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2,000</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0.86% - 1.09%</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Fixed-rate 1.050% - 4.450% notes</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2017 - 2044</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10,000</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0.95% - 4.48%</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10,000</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0.85% - 4.48%</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2015 debt issuances of $27.3 billion:</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Floating-rate notes</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2017 - 2020</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Helvetica" w:eastAsiaTheme="minorEastAsia" w:hAnsi="Helvetica" w:cs="Helvetica"/>
                <w:sz w:val="14"/>
                <w:szCs w:val="14"/>
              </w:rPr>
              <w:t>1,753</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0.95% - 1.87%</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Helvetica" w:eastAsiaTheme="minorEastAsia" w:hAnsi="Helvetica" w:cs="Helvetica"/>
                <w:sz w:val="14"/>
                <w:szCs w:val="14"/>
              </w:rPr>
              <w:t>1,781</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0.87% - 1.87%</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Fixed-rate 0.350% - 4.375% notes</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2017 - 2045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Helvetica" w:eastAsiaTheme="minorEastAsia" w:hAnsi="Helvetica" w:cs="Helvetica"/>
                <w:sz w:val="14"/>
                <w:szCs w:val="14"/>
              </w:rPr>
              <w:t>24,225</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0.28% - 4.51%</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Helvetica" w:eastAsiaTheme="minorEastAsia" w:hAnsi="Helvetica" w:cs="Helvetica"/>
                <w:sz w:val="14"/>
                <w:szCs w:val="14"/>
              </w:rPr>
              <w:t>25,144</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4"/>
                <w:szCs w:val="14"/>
              </w:rPr>
              <w:t>0.28% - 4.51%</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2016 debt issuances of $24.9 billion:</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Floating-rate notes</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2019 - 2021</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1,350</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1.02% - 2.05%</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1,350</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0.91% - 1.95%</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Fixed-rate 1.100% - 4.650% notes</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2018 - 2046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23,550</w:t>
            </w:r>
          </w:p>
        </w:tc>
        <w:tc>
          <w:tcPr>
            <w:tcW w:w="26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1.13% - 4.78%</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23,609</w:t>
            </w:r>
          </w:p>
        </w:tc>
        <w:tc>
          <w:tcPr>
            <w:tcW w:w="26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4"/>
                <w:szCs w:val="14"/>
              </w:rPr>
              <w:t>1.13% - 4.58%</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4"/>
                <w:szCs w:val="14"/>
              </w:rPr>
              <w:t>Total term debt</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77,378</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78,384</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Unamortized premium/(discount) and issuance costs, net</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(166</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4"/>
                <w:szCs w:val="14"/>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(174</w:t>
            </w:r>
          </w:p>
        </w:tc>
        <w:tc>
          <w:tcPr>
            <w:tcW w:w="2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4"/>
                <w:szCs w:val="14"/>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Hedge accounting fair value adjustments</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(156</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4"/>
                <w:szCs w:val="14"/>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717</w:t>
            </w:r>
          </w:p>
        </w:tc>
        <w:tc>
          <w:tcPr>
            <w:tcW w:w="26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4"/>
                <w:szCs w:val="14"/>
              </w:rPr>
              <w:t>Less: Current portion of long-term debt</w:t>
            </w:r>
          </w:p>
        </w:tc>
        <w:tc>
          <w:tcPr>
            <w:tcW w:w="119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(3,499</w:t>
            </w:r>
          </w:p>
        </w:tc>
        <w:tc>
          <w:tcPr>
            <w:tcW w:w="26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4"/>
                <w:szCs w:val="14"/>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12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4"/>
                <w:szCs w:val="14"/>
              </w:rPr>
              <w:t>(3,500</w:t>
            </w:r>
          </w:p>
        </w:tc>
        <w:tc>
          <w:tcPr>
            <w:tcW w:w="26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4"/>
                <w:szCs w:val="14"/>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394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4"/>
                <w:szCs w:val="14"/>
              </w:rPr>
              <w:t>Total long-term debt</w:t>
            </w:r>
          </w:p>
        </w:tc>
        <w:tc>
          <w:tcPr>
            <w:tcW w:w="119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w:t>
            </w:r>
          </w:p>
        </w:tc>
        <w:tc>
          <w:tcPr>
            <w:tcW w:w="86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4"/>
                <w:szCs w:val="14"/>
              </w:rPr>
              <w:t>73,557</w:t>
            </w:r>
          </w:p>
        </w:tc>
        <w:tc>
          <w:tcPr>
            <w:tcW w:w="26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6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4"/>
                <w:szCs w:val="14"/>
              </w:rPr>
              <w:t>$</w:t>
            </w:r>
          </w:p>
        </w:tc>
        <w:tc>
          <w:tcPr>
            <w:tcW w:w="86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4"/>
                <w:szCs w:val="14"/>
              </w:rPr>
              <w:t>75,427</w:t>
            </w:r>
          </w:p>
        </w:tc>
        <w:tc>
          <w:tcPr>
            <w:tcW w:w="26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As of December 31, 2016 and September 24, 2016 , ¥90.4 billion and ¥195.5 billion , respectively, of Japanese yen-denominated notes were designated as a hedge of the foreign currency exposure of the Company's net investment in a foreign operation. The foreign currency transaction gain or loss on the Japanese yen-denominated debt designated as a hedge is recorded in OCI as a part of the cumulative translation adjustment. As of December 31, 2016 and September 24, 2016 , the carrying value of the debt designated as a net investment hedge was $767 million and $1.9 billion , respectively. For further discussion regarding the Company’s use of derivative instruments see the Derivative Financial Instruments section of Note 2, “Financial Instruments.”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effective interest rates for the Notes include the interest on the Notes, amortization of the discount and, if applicable, adjustments related to hedging. The Company recognized $509 million and $271 million of interest expense on its term debt for the three months ended December 31, 2016 and December 26, 2015 , respectively.</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As of December 31, 2016 and September 24, 2016 , the fair value of the Company’s Notes, based on Level 2 inputs, was $77.7 billion and $81.7 billion , respectively.</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15</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7 – Shareholders’ Equity</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b/>
          <w:bCs/>
          <w:sz w:val="18"/>
          <w:szCs w:val="18"/>
        </w:rPr>
        <w:t>Dividends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sz w:val="18"/>
          <w:szCs w:val="18"/>
        </w:rPr>
        <w:t>The Company declared and paid cash dividends per share during the periods presented as follows: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6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3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3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Dividends</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Per Share</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Amount</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sz w:val="16"/>
                <w:szCs w:val="16"/>
              </w:rPr>
              <w:t>(in millions)</w:t>
            </w:r>
          </w:p>
        </w:tc>
        <w:tc>
          <w:tcPr>
            <w:tcW w:w="18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2017:</w:t>
            </w:r>
          </w:p>
        </w:tc>
        <w:tc>
          <w:tcPr>
            <w:tcW w:w="17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First quarter</w:t>
            </w:r>
          </w:p>
        </w:tc>
        <w:tc>
          <w:tcPr>
            <w:tcW w:w="26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0.57</w:t>
            </w:r>
          </w:p>
        </w:tc>
        <w:tc>
          <w:tcPr>
            <w:tcW w:w="1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3,042</w:t>
            </w: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2016:</w:t>
            </w:r>
          </w:p>
        </w:tc>
        <w:tc>
          <w:tcPr>
            <w:tcW w:w="17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Fourth quarter</w:t>
            </w:r>
          </w:p>
        </w:tc>
        <w:tc>
          <w:tcPr>
            <w:tcW w:w="26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0.57</w:t>
            </w: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3,071</w:t>
            </w: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lastRenderedPageBreak/>
              <w:t>Third quarter</w:t>
            </w:r>
          </w:p>
        </w:tc>
        <w:tc>
          <w:tcPr>
            <w:tcW w:w="160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0.57</w:t>
            </w:r>
          </w:p>
        </w:tc>
        <w:tc>
          <w:tcPr>
            <w:tcW w:w="1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3,117</w:t>
            </w: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Second quarter</w:t>
            </w:r>
          </w:p>
        </w:tc>
        <w:tc>
          <w:tcPr>
            <w:tcW w:w="160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0.52</w:t>
            </w: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2,879</w:t>
            </w: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First quarter</w:t>
            </w:r>
          </w:p>
        </w:tc>
        <w:tc>
          <w:tcPr>
            <w:tcW w:w="1600"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0.52</w:t>
            </w:r>
          </w:p>
        </w:tc>
        <w:tc>
          <w:tcPr>
            <w:tcW w:w="13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2,898</w:t>
            </w: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74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Total cash dividends declared and paid</w:t>
            </w:r>
          </w:p>
        </w:tc>
        <w:tc>
          <w:tcPr>
            <w:tcW w:w="263"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2.18</w:t>
            </w:r>
          </w:p>
        </w:tc>
        <w:tc>
          <w:tcPr>
            <w:tcW w:w="13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11,965</w:t>
            </w:r>
          </w:p>
        </w:tc>
        <w:tc>
          <w:tcPr>
            <w:tcW w:w="18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Future dividends are subject to declaration by the Board of Directors.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Share Repurchase Program</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April 2016, the Company’s Board of Directors increased the share repurchase authorization from $140 billion to $175 billion of the Company’s common stock, of which $144 billion had been utilized as of December 31, 2016 . The Company’s share repurchase program does not obligate it to acquire any specific number of shares. Under the program, shares may be repurchased in privately negotiated and/or open market transactions, including under plans complying with Rule 10b5-1 under the Securities Exchange Act of 1934, as amended (the “Exchange Act”).</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entered, and in the future may enter, into accelerated share repurchase arrangements (“ASRs”) with financial institutions. In exchange for up-front payments, the financial institutions deliver shares of the Company’s common stock during the purchase periods of each ASR. The total number of shares ultimately delivered, and therefore the average repurchase price paid per share, is determined at the end of the applicable purchase period of each ASR based on the volume-weighted average price of the Company’s common stock during that period. The shares received are retired in the periods they are delivered, and the up-front payments are accounted for as a reduction to shareholders’ equity in the Company’s Condensed Consolidated Balance Sheets in the periods the payments are made. The Company reflects the ASRs as a repurchase of common stock in the period delivered for purposes of calculating earnings per share and as forward contracts indexed to its own common stock. The ASRs met all of the applicable criteria for equity classification, and therefore were not accounted for as derivative instruments.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shows the Company’s ASR activity and related information during the three months ended December 31, 2016 and the year ended September 24, 2016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46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3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4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53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Purchase Period</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End Date</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Number of Shares</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sz w:val="16"/>
                <w:szCs w:val="16"/>
              </w:rPr>
              <w:t>(in thousands)</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Average Repurchase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Price Per Share</w:t>
            </w:r>
          </w:p>
        </w:tc>
        <w:tc>
          <w:tcPr>
            <w:tcW w:w="33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ASR Amount</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sz w:val="16"/>
                <w:szCs w:val="16"/>
              </w:rPr>
              <w:t>(in millions)</w:t>
            </w:r>
          </w:p>
        </w:tc>
        <w:tc>
          <w:tcPr>
            <w:tcW w:w="16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210" w:right="-2880" w:hanging="180"/>
              <w:rPr>
                <w:rFonts w:ascii="Times" w:eastAsiaTheme="minorEastAsia" w:hAnsi="Times" w:cs="Times"/>
                <w:sz w:val="24"/>
                <w:szCs w:val="24"/>
              </w:rPr>
            </w:pPr>
            <w:r>
              <w:rPr>
                <w:rFonts w:ascii="Times" w:eastAsiaTheme="minorEastAsia" w:hAnsi="Times" w:cs="Times"/>
                <w:sz w:val="18"/>
                <w:szCs w:val="18"/>
              </w:rPr>
              <w:t>November 2016 ASR</w:t>
            </w:r>
          </w:p>
        </w:tc>
        <w:tc>
          <w:tcPr>
            <w:tcW w:w="153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210" w:right="-2880" w:hanging="180"/>
              <w:jc w:val="right"/>
              <w:rPr>
                <w:rFonts w:ascii="Times" w:eastAsiaTheme="minorEastAsia" w:hAnsi="Times" w:cs="Times"/>
                <w:sz w:val="24"/>
                <w:szCs w:val="24"/>
              </w:rPr>
            </w:pPr>
            <w:r>
              <w:rPr>
                <w:rFonts w:ascii="Times" w:eastAsiaTheme="minorEastAsia" w:hAnsi="Times" w:cs="Times"/>
                <w:sz w:val="18"/>
                <w:szCs w:val="18"/>
              </w:rPr>
              <w:t>February 2017</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27"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44,814</w:t>
            </w:r>
          </w:p>
        </w:tc>
        <w:tc>
          <w:tcPr>
            <w:tcW w:w="35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(1)  </w:t>
            </w:r>
          </w:p>
        </w:tc>
        <w:tc>
          <w:tcPr>
            <w:tcW w:w="14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  </w:t>
            </w:r>
          </w:p>
        </w:tc>
        <w:tc>
          <w:tcPr>
            <w:tcW w:w="1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3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9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6,000</w:t>
            </w:r>
          </w:p>
        </w:tc>
        <w:tc>
          <w:tcPr>
            <w:tcW w:w="21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210" w:right="-2880" w:hanging="180"/>
              <w:rPr>
                <w:rFonts w:ascii="Times" w:eastAsiaTheme="minorEastAsia" w:hAnsi="Times" w:cs="Times"/>
                <w:sz w:val="24"/>
                <w:szCs w:val="24"/>
              </w:rPr>
            </w:pPr>
            <w:r>
              <w:rPr>
                <w:rFonts w:ascii="Times" w:eastAsiaTheme="minorEastAsia" w:hAnsi="Times" w:cs="Times"/>
                <w:sz w:val="18"/>
                <w:szCs w:val="18"/>
              </w:rPr>
              <w:t>August 2016 ASR</w:t>
            </w:r>
          </w:p>
        </w:tc>
        <w:tc>
          <w:tcPr>
            <w:tcW w:w="153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210" w:right="-2880" w:hanging="180"/>
              <w:jc w:val="right"/>
              <w:rPr>
                <w:rFonts w:ascii="Times" w:eastAsiaTheme="minorEastAsia" w:hAnsi="Times" w:cs="Times"/>
                <w:sz w:val="24"/>
                <w:szCs w:val="24"/>
              </w:rPr>
            </w:pPr>
            <w:r>
              <w:rPr>
                <w:rFonts w:ascii="Times" w:eastAsiaTheme="minorEastAsia" w:hAnsi="Times" w:cs="Times"/>
                <w:sz w:val="18"/>
                <w:szCs w:val="18"/>
              </w:rPr>
              <w:t>November 2016</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26,850</w:t>
            </w:r>
          </w:p>
        </w:tc>
        <w:tc>
          <w:tcPr>
            <w:tcW w:w="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  </w:t>
            </w:r>
          </w:p>
        </w:tc>
        <w:tc>
          <w:tcPr>
            <w:tcW w:w="22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111.73</w:t>
            </w:r>
          </w:p>
        </w:tc>
        <w:tc>
          <w:tcPr>
            <w:tcW w:w="1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3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3,000</w:t>
            </w:r>
          </w:p>
        </w:tc>
        <w:tc>
          <w:tcPr>
            <w:tcW w:w="2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May 2016 ASR</w:t>
            </w:r>
          </w:p>
        </w:tc>
        <w:tc>
          <w:tcPr>
            <w:tcW w:w="153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August 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Helvetica" w:eastAsiaTheme="minorEastAsia" w:hAnsi="Helvetica" w:cs="Helvetica"/>
                <w:sz w:val="18"/>
                <w:szCs w:val="18"/>
              </w:rPr>
              <w:t>60,452</w:t>
            </w:r>
          </w:p>
        </w:tc>
        <w:tc>
          <w:tcPr>
            <w:tcW w:w="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99.25</w:t>
            </w:r>
          </w:p>
        </w:tc>
        <w:tc>
          <w:tcPr>
            <w:tcW w:w="1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3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Helvetica" w:eastAsiaTheme="minorEastAsia" w:hAnsi="Helvetica" w:cs="Helvetica"/>
                <w:sz w:val="18"/>
                <w:szCs w:val="18"/>
              </w:rPr>
              <w:t>$</w:t>
            </w:r>
          </w:p>
        </w:tc>
        <w:tc>
          <w:tcPr>
            <w:tcW w:w="10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Helvetica" w:eastAsiaTheme="minorEastAsia" w:hAnsi="Helvetica" w:cs="Helvetica"/>
                <w:sz w:val="18"/>
                <w:szCs w:val="18"/>
              </w:rPr>
              <w:t>6,000</w:t>
            </w:r>
          </w:p>
        </w:tc>
        <w:tc>
          <w:tcPr>
            <w:tcW w:w="21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42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November 2015 ASR</w:t>
            </w:r>
          </w:p>
        </w:tc>
        <w:tc>
          <w:tcPr>
            <w:tcW w:w="153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April 2016</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29,122</w:t>
            </w:r>
          </w:p>
        </w:tc>
        <w:tc>
          <w:tcPr>
            <w:tcW w:w="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103.02</w:t>
            </w:r>
          </w:p>
        </w:tc>
        <w:tc>
          <w:tcPr>
            <w:tcW w:w="1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3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09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3,000</w:t>
            </w:r>
          </w:p>
        </w:tc>
        <w:tc>
          <w:tcPr>
            <w:tcW w:w="21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r>
        <w:rPr>
          <w:rFonts w:ascii="Times" w:eastAsiaTheme="minorEastAsia" w:hAnsi="Times" w:cs="Times"/>
          <w:sz w:val="12"/>
          <w:szCs w:val="12"/>
        </w:rPr>
        <w:t> </w:t>
      </w: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(1)</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“Number of Shares” represents those shares delivered in the beginning of the purchase period and does not represent the final number of shares to be delivered under the ASR. The total number of shares ultimately delivered, and therefore the average repurchase price paid per share, will be determined at the end of the purchase period based on the volume-weighted average price of the Company’s common stock during that period. The November 2016 ASR purchase period will end in February 2017.</w:t>
            </w:r>
          </w:p>
        </w:tc>
      </w:tr>
    </w:tbl>
    <w:p w:rsidR="00647C25" w:rsidRDefault="00647C25" w:rsidP="00647C25">
      <w:pPr>
        <w:adjustRightInd w:val="0"/>
        <w:spacing w:line="6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00"/>
        <w:gridCol w:w="10379"/>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3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(2)</w:t>
            </w:r>
          </w:p>
        </w:tc>
        <w:tc>
          <w:tcPr>
            <w:tcW w:w="1037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Includes 22.5 million shares delivered and retired at the beginning of the purchase period, which began in the fourth quarter of 2016 and 4.4 million shares delivered and retired at the end of the purchase period, which concluded in the first quarter of 2017.</w:t>
            </w:r>
          </w:p>
        </w:tc>
      </w:tr>
    </w:tbl>
    <w:p w:rsidR="00647C25" w:rsidRDefault="00647C25" w:rsidP="00647C25">
      <w:pPr>
        <w:adjustRightInd w:val="0"/>
        <w:spacing w:before="6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16</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Additionally, the Company repurchased shares of its common stock in the open market, which were retired upon repurchase, during the periods presented as follows: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44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1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5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Number of Shares</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sz w:val="16"/>
                <w:szCs w:val="16"/>
              </w:rPr>
              <w:t>(in thousands)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Average Repurchase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Price Per Share</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Amount</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sz w:val="16"/>
                <w:szCs w:val="16"/>
              </w:rPr>
              <w:t>(in millions)</w:t>
            </w:r>
          </w:p>
        </w:tc>
        <w:tc>
          <w:tcPr>
            <w:tcW w:w="181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2017:</w:t>
            </w:r>
          </w:p>
        </w:tc>
        <w:tc>
          <w:tcPr>
            <w:tcW w:w="175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First quarter</w:t>
            </w:r>
          </w:p>
        </w:tc>
        <w:tc>
          <w:tcPr>
            <w:tcW w:w="144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44,333</w:t>
            </w:r>
          </w:p>
        </w:tc>
        <w:tc>
          <w:tcPr>
            <w:tcW w:w="3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112.78</w:t>
            </w:r>
          </w:p>
        </w:tc>
        <w:tc>
          <w:tcPr>
            <w:tcW w:w="1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5,000</w:t>
            </w: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2016:</w:t>
            </w:r>
          </w:p>
        </w:tc>
        <w:tc>
          <w:tcPr>
            <w:tcW w:w="175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8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1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lastRenderedPageBreak/>
              <w:t>Fourth quarter</w:t>
            </w:r>
          </w:p>
        </w:tc>
        <w:tc>
          <w:tcPr>
            <w:tcW w:w="144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28,579</w:t>
            </w:r>
          </w:p>
        </w:tc>
        <w:tc>
          <w:tcPr>
            <w:tcW w:w="3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104.97</w:t>
            </w:r>
          </w:p>
        </w:tc>
        <w:tc>
          <w:tcPr>
            <w:tcW w:w="1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3,000</w:t>
            </w: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Third quarter</w:t>
            </w:r>
          </w:p>
        </w:tc>
        <w:tc>
          <w:tcPr>
            <w:tcW w:w="144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41,238</w:t>
            </w:r>
          </w:p>
        </w:tc>
        <w:tc>
          <w:tcPr>
            <w:tcW w:w="3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97.00</w:t>
            </w:r>
          </w:p>
        </w:tc>
        <w:tc>
          <w:tcPr>
            <w:tcW w:w="1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4,000</w:t>
            </w: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Second quarter</w:t>
            </w:r>
          </w:p>
        </w:tc>
        <w:tc>
          <w:tcPr>
            <w:tcW w:w="144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71,766</w:t>
            </w:r>
          </w:p>
        </w:tc>
        <w:tc>
          <w:tcPr>
            <w:tcW w:w="3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97.54</w:t>
            </w:r>
          </w:p>
        </w:tc>
        <w:tc>
          <w:tcPr>
            <w:tcW w:w="12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7,000</w:t>
            </w: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First quarter</w:t>
            </w:r>
          </w:p>
        </w:tc>
        <w:tc>
          <w:tcPr>
            <w:tcW w:w="144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25,984</w:t>
            </w:r>
          </w:p>
        </w:tc>
        <w:tc>
          <w:tcPr>
            <w:tcW w:w="31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2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115.45</w:t>
            </w:r>
          </w:p>
        </w:tc>
        <w:tc>
          <w:tcPr>
            <w:tcW w:w="12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3,000</w:t>
            </w: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90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Total open market common stock repurchases</w:t>
            </w:r>
          </w:p>
        </w:tc>
        <w:tc>
          <w:tcPr>
            <w:tcW w:w="144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167,567</w:t>
            </w:r>
          </w:p>
        </w:tc>
        <w:tc>
          <w:tcPr>
            <w:tcW w:w="31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1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17,000</w:t>
            </w:r>
          </w:p>
        </w:tc>
        <w:tc>
          <w:tcPr>
            <w:tcW w:w="18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8 – Comprehensive Income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Comprehensive income consists of two components, net income and OCI. OCI refers to revenue, expenses, and gains and losses that under GAAP are recorded as an element of shareholders’ equity but are excluded from net income. The Company’s OCI consists of foreign currency translation adjustments from those subsidiaries not using the U.S. dollar as their functional currency, net deferred gains and losses on certain derivative instruments accounted for as cash flow hedges and unrealized gains and losses on marketable securities classified as available-for-sale.</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shows the pre-tax amounts reclassified from AOCI into the Condensed Consolidated Statements of Operations, and the associated financial statement line item, for the three months ended December 31, 2016 and December 26, 2015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0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b/>
                <w:bCs/>
                <w:sz w:val="16"/>
                <w:szCs w:val="16"/>
              </w:rPr>
              <w:t>Comprehensive Income Components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b/>
                <w:bCs/>
                <w:sz w:val="16"/>
                <w:szCs w:val="16"/>
              </w:rPr>
              <w:t>Financial Statement Line Item</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7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210" w:right="-2880" w:hanging="180"/>
              <w:rPr>
                <w:rFonts w:ascii="Times" w:eastAsiaTheme="minorEastAsia" w:hAnsi="Times" w:cs="Times"/>
                <w:sz w:val="24"/>
                <w:szCs w:val="24"/>
              </w:rPr>
            </w:pPr>
            <w:r>
              <w:rPr>
                <w:rFonts w:ascii="Times" w:eastAsiaTheme="minorEastAsia" w:hAnsi="Times" w:cs="Times"/>
                <w:sz w:val="18"/>
                <w:szCs w:val="18"/>
              </w:rPr>
              <w:t>Unrealized (gains)/losses on derivative instruments: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Foreign exchange contracts</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Revenue</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3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(101</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1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3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(329</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Cost of sales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13</w:t>
            </w: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(306</w:t>
            </w: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income/(expense), net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604</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120</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Interest rate contracts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income/(expense), net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517</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(511</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20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210" w:right="-2880" w:hanging="180"/>
              <w:rPr>
                <w:rFonts w:ascii="Times" w:eastAsiaTheme="minorEastAsia" w:hAnsi="Times" w:cs="Times"/>
                <w:sz w:val="24"/>
                <w:szCs w:val="24"/>
              </w:rPr>
            </w:pPr>
            <w:r>
              <w:rPr>
                <w:rFonts w:ascii="Times" w:eastAsiaTheme="minorEastAsia" w:hAnsi="Times" w:cs="Times"/>
                <w:sz w:val="18"/>
                <w:szCs w:val="18"/>
              </w:rPr>
              <w:t>Unrealized (gains)/losses on marketable securities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income/(expense), net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31</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73</w:t>
            </w: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60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 amounts reclassified from AOCI</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38"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548</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1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38"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(438</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0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rPr>
          <w:rFonts w:ascii="Times" w:eastAsiaTheme="minorEastAsia" w:hAnsi="Times" w:cs="Times"/>
          <w:sz w:val="24"/>
          <w:szCs w:val="24"/>
        </w:rPr>
      </w:pPr>
      <w:r>
        <w:rPr>
          <w:rFonts w:ascii="Times" w:eastAsiaTheme="minorEastAsia" w:hAnsi="Times" w:cs="Times"/>
          <w:sz w:val="18"/>
          <w:szCs w:val="18"/>
        </w:rPr>
        <w:t>The following table shows the changes in AOCI by component for the three months ended December 31,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084"/>
        <w:gridCol w:w="128"/>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9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5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6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 </w:t>
            </w:r>
          </w:p>
        </w:tc>
        <w:tc>
          <w:tcPr>
            <w:tcW w:w="155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Cumulative Foreign</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Currency Translation</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Unrealized Gains/Losses</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on Derivative Instruments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Unrealized Gains/Losses</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on Marketable Securities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Total</w:t>
            </w: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3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Balance at September 24, 2016</w:t>
            </w:r>
          </w:p>
        </w:tc>
        <w:tc>
          <w:tcPr>
            <w:tcW w:w="27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95"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(578</w:t>
            </w:r>
          </w:p>
        </w:tc>
        <w:tc>
          <w:tcPr>
            <w:tcW w:w="279"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38</w:t>
            </w:r>
          </w:p>
        </w:tc>
        <w:tc>
          <w:tcPr>
            <w:tcW w:w="30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1,174</w:t>
            </w:r>
          </w:p>
        </w:tc>
        <w:tc>
          <w:tcPr>
            <w:tcW w:w="306"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6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634</w:t>
            </w:r>
          </w:p>
        </w:tc>
        <w:tc>
          <w:tcPr>
            <w:tcW w:w="15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600" w:right="-2880" w:hanging="180"/>
              <w:rPr>
                <w:rFonts w:ascii="Times" w:eastAsiaTheme="minorEastAsia" w:hAnsi="Times" w:cs="Times"/>
                <w:sz w:val="24"/>
                <w:szCs w:val="24"/>
              </w:rPr>
            </w:pPr>
            <w:r>
              <w:rPr>
                <w:rFonts w:ascii="Times" w:eastAsiaTheme="minorEastAsia" w:hAnsi="Times" w:cs="Times"/>
                <w:sz w:val="18"/>
                <w:szCs w:val="18"/>
              </w:rPr>
              <w:t>Other comprehensive income/(loss) before reclassifications</w:t>
            </w:r>
          </w:p>
        </w:tc>
        <w:tc>
          <w:tcPr>
            <w:tcW w:w="127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(451</w:t>
            </w:r>
          </w:p>
        </w:tc>
        <w:tc>
          <w:tcPr>
            <w:tcW w:w="27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1,696</w:t>
            </w:r>
          </w:p>
        </w:tc>
        <w:tc>
          <w:tcPr>
            <w:tcW w:w="3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(2,797</w:t>
            </w:r>
          </w:p>
        </w:tc>
        <w:tc>
          <w:tcPr>
            <w:tcW w:w="3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17" w:type="dxa"/>
            <w:tcBorders>
              <w:top w:val="single" w:sz="6" w:space="0" w:color="auto"/>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(1,552</w:t>
            </w:r>
          </w:p>
        </w:tc>
        <w:tc>
          <w:tcPr>
            <w:tcW w:w="152" w:type="dxa"/>
            <w:tcBorders>
              <w:top w:val="single" w:sz="6" w:space="0" w:color="auto"/>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52" w:type="dxa"/>
            <w:tcBorders>
              <w:top w:val="single" w:sz="6" w:space="0" w:color="auto"/>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6" w:space="0" w:color="auto"/>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6" w:space="0" w:color="auto"/>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6" w:space="0" w:color="auto"/>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Amounts reclassified from AOCI</w:t>
            </w:r>
          </w:p>
        </w:tc>
        <w:tc>
          <w:tcPr>
            <w:tcW w:w="1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w:t>
            </w:r>
          </w:p>
        </w:tc>
        <w:tc>
          <w:tcPr>
            <w:tcW w:w="27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517</w:t>
            </w:r>
          </w:p>
        </w:tc>
        <w:tc>
          <w:tcPr>
            <w:tcW w:w="3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31</w:t>
            </w:r>
          </w:p>
        </w:tc>
        <w:tc>
          <w:tcPr>
            <w:tcW w:w="3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1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548</w:t>
            </w: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Tax effect</w:t>
            </w:r>
          </w:p>
        </w:tc>
        <w:tc>
          <w:tcPr>
            <w:tcW w:w="127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76</w:t>
            </w:r>
          </w:p>
        </w:tc>
        <w:tc>
          <w:tcPr>
            <w:tcW w:w="27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(439</w:t>
            </w:r>
          </w:p>
        </w:tc>
        <w:tc>
          <w:tcPr>
            <w:tcW w:w="306"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978</w:t>
            </w:r>
          </w:p>
        </w:tc>
        <w:tc>
          <w:tcPr>
            <w:tcW w:w="306"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17"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615</w:t>
            </w:r>
          </w:p>
        </w:tc>
        <w:tc>
          <w:tcPr>
            <w:tcW w:w="15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Other comprehensive income/(loss)</w:t>
            </w:r>
          </w:p>
        </w:tc>
        <w:tc>
          <w:tcPr>
            <w:tcW w:w="127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(375</w:t>
            </w:r>
          </w:p>
        </w:tc>
        <w:tc>
          <w:tcPr>
            <w:tcW w:w="2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1,774</w:t>
            </w:r>
          </w:p>
        </w:tc>
        <w:tc>
          <w:tcPr>
            <w:tcW w:w="30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(1,788</w:t>
            </w:r>
          </w:p>
        </w:tc>
        <w:tc>
          <w:tcPr>
            <w:tcW w:w="30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1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(389</w:t>
            </w:r>
          </w:p>
        </w:tc>
        <w:tc>
          <w:tcPr>
            <w:tcW w:w="15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5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44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Balance at December 31, 2016</w:t>
            </w:r>
          </w:p>
        </w:tc>
        <w:tc>
          <w:tcPr>
            <w:tcW w:w="27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95"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(953</w:t>
            </w:r>
          </w:p>
        </w:tc>
        <w:tc>
          <w:tcPr>
            <w:tcW w:w="279"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1,812</w:t>
            </w:r>
          </w:p>
        </w:tc>
        <w:tc>
          <w:tcPr>
            <w:tcW w:w="30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0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19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(614</w:t>
            </w:r>
          </w:p>
        </w:tc>
        <w:tc>
          <w:tcPr>
            <w:tcW w:w="30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3"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964"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245</w:t>
            </w:r>
          </w:p>
        </w:tc>
        <w:tc>
          <w:tcPr>
            <w:tcW w:w="152"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17</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9 – Benefit Plans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b/>
          <w:bCs/>
          <w:sz w:val="18"/>
          <w:szCs w:val="18"/>
        </w:rPr>
        <w:lastRenderedPageBreak/>
        <w:t>Stock Plans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had 316.4 million shares reserved for future issuance under its stock plans as of December 31, 2016 . RSUs granted generally vest over four years , based on continued employment, and are settled upon vesting in shares of the Company’s common stock on a one -for-one basis. Each share issued with respect to RSUs granted under the Company’s stock plans reduces the number of shares available for grant under the plan by two shares. RSUs cancelled and shares withheld to satisfy tax withholding obligations increase the number of shares available for grant under the plans utilizing a factor of two times the number of RSUs cancelled or shares withheld.</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Rule 10b5-1 Trading Plans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During the three months ended </w:t>
      </w:r>
      <w:r>
        <w:rPr>
          <w:rFonts w:ascii="Helvetica" w:eastAsiaTheme="minorEastAsia" w:hAnsi="Helvetica" w:cs="Helvetica"/>
          <w:sz w:val="18"/>
          <w:szCs w:val="18"/>
        </w:rPr>
        <w:t>December 31, 2016</w:t>
      </w:r>
      <w:r>
        <w:rPr>
          <w:rFonts w:ascii="Times" w:eastAsiaTheme="minorEastAsia" w:hAnsi="Times" w:cs="Times"/>
          <w:sz w:val="18"/>
          <w:szCs w:val="18"/>
        </w:rPr>
        <w:t xml:space="preserve"> , Section 16 officers Timothy D. Cook, Luca Maestri, Daniel Riccio, Philip Schiller and Jeffrey Williams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Restricted Stock Units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sz w:val="18"/>
          <w:szCs w:val="18"/>
        </w:rPr>
        <w:t>A summary of the Company’s RSU activity and related information for the three months ended December 31, 2016 is as follows: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69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4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7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207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Number of</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RSUs</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sz w:val="16"/>
                <w:szCs w:val="16"/>
              </w:rPr>
              <w:t>(in thousands)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5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Weighted-Average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Grant Date Fair</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Value Per Share</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Aggregate Fair Value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sz w:val="16"/>
                <w:szCs w:val="16"/>
              </w:rPr>
              <w:t>(in millions)</w:t>
            </w: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Balance at September 24, 2016</w:t>
            </w:r>
          </w:p>
        </w:tc>
        <w:tc>
          <w:tcPr>
            <w:tcW w:w="16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99,089</w:t>
            </w:r>
          </w:p>
        </w:tc>
        <w:tc>
          <w:tcPr>
            <w:tcW w:w="3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7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97.54</w:t>
            </w: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RSUs granted</w:t>
            </w:r>
          </w:p>
        </w:tc>
        <w:tc>
          <w:tcPr>
            <w:tcW w:w="16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42,882</w:t>
            </w:r>
          </w:p>
        </w:tc>
        <w:tc>
          <w:tcPr>
            <w:tcW w:w="3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7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117.95</w:t>
            </w:r>
          </w:p>
        </w:tc>
        <w:tc>
          <w:tcPr>
            <w:tcW w:w="27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RSUs vested</w:t>
            </w:r>
          </w:p>
        </w:tc>
        <w:tc>
          <w:tcPr>
            <w:tcW w:w="16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(18,535</w:t>
            </w:r>
          </w:p>
        </w:tc>
        <w:tc>
          <w:tcPr>
            <w:tcW w:w="3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7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92.65</w:t>
            </w: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RSUs cancelled</w:t>
            </w:r>
          </w:p>
        </w:tc>
        <w:tc>
          <w:tcPr>
            <w:tcW w:w="1697"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(1,577</w:t>
            </w:r>
          </w:p>
        </w:tc>
        <w:tc>
          <w:tcPr>
            <w:tcW w:w="377"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7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105.01</w:t>
            </w:r>
          </w:p>
        </w:tc>
        <w:tc>
          <w:tcPr>
            <w:tcW w:w="27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481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Balance at December 31, 2016</w:t>
            </w:r>
          </w:p>
        </w:tc>
        <w:tc>
          <w:tcPr>
            <w:tcW w:w="169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121,859</w:t>
            </w:r>
          </w:p>
        </w:tc>
        <w:tc>
          <w:tcPr>
            <w:tcW w:w="377"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7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105.37</w:t>
            </w: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1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14,114</w:t>
            </w:r>
          </w:p>
        </w:tc>
        <w:tc>
          <w:tcPr>
            <w:tcW w:w="18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RSUs that vested during the three months ended December 31, 2016 and December 26, 2015 had fair values of $2.2 billion and $2.0 billion , respectively, as of the vesting date.</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Share-Based Compensation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shows a summary of the share-based compensation expense included in the Condensed Consolidated Statements of Operations for the three months ended December 31, 2016 and December 26, 2015 (in millions):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3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2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3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0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4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22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4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4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4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Cost of sales</w:t>
            </w:r>
          </w:p>
        </w:tc>
        <w:tc>
          <w:tcPr>
            <w:tcW w:w="32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229</w:t>
            </w:r>
          </w:p>
        </w:tc>
        <w:tc>
          <w:tcPr>
            <w:tcW w:w="188"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2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204</w:t>
            </w:r>
          </w:p>
        </w:tc>
        <w:tc>
          <w:tcPr>
            <w:tcW w:w="188"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Research and development</w:t>
            </w:r>
          </w:p>
        </w:tc>
        <w:tc>
          <w:tcPr>
            <w:tcW w:w="165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589</w:t>
            </w:r>
          </w:p>
        </w:tc>
        <w:tc>
          <w:tcPr>
            <w:tcW w:w="1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2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5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466</w:t>
            </w:r>
          </w:p>
        </w:tc>
        <w:tc>
          <w:tcPr>
            <w:tcW w:w="1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Selling, general and administrative</w:t>
            </w:r>
          </w:p>
        </w:tc>
        <w:tc>
          <w:tcPr>
            <w:tcW w:w="16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438</w:t>
            </w:r>
          </w:p>
        </w:tc>
        <w:tc>
          <w:tcPr>
            <w:tcW w:w="1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2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408</w:t>
            </w:r>
          </w:p>
        </w:tc>
        <w:tc>
          <w:tcPr>
            <w:tcW w:w="1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61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 share-based compensation expense</w:t>
            </w:r>
          </w:p>
        </w:tc>
        <w:tc>
          <w:tcPr>
            <w:tcW w:w="320"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1,256</w:t>
            </w:r>
          </w:p>
        </w:tc>
        <w:tc>
          <w:tcPr>
            <w:tcW w:w="188"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2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20"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3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1,078</w:t>
            </w:r>
          </w:p>
        </w:tc>
        <w:tc>
          <w:tcPr>
            <w:tcW w:w="188"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income tax benefit related to share-based compensation expense was $465 million and $413 million for the three months ended December 31, 2016 and December 26, 2015 , respectively. As of December 31, 2016 , the total unrecognized compensation cost related to outstanding RSUs, restricted stock and stock options was $11.0 billion , which the Company expects to recognize over a weighted-average period of 2.9 years .</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18</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10 – Commitments and Contingencies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b/>
          <w:bCs/>
          <w:sz w:val="18"/>
          <w:szCs w:val="18"/>
        </w:rPr>
        <w:lastRenderedPageBreak/>
        <w:t>Accrued Warranty and Indemnification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shows changes in the Company’s accrued warranties and related costs for the three months ended December 31, 2016 and December 26, 2015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5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Beginning accrued warranty and related costs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3,702</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4,780</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Cost of warranty claims</w:t>
            </w:r>
          </w:p>
        </w:tc>
        <w:tc>
          <w:tcPr>
            <w:tcW w:w="16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(1,337</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(1,269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Accruals for product warranty</w:t>
            </w:r>
          </w:p>
        </w:tc>
        <w:tc>
          <w:tcPr>
            <w:tcW w:w="160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2,333</w:t>
            </w: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1,725</w:t>
            </w: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5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Ending accrued warranty and related costs</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7"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4,698</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7"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5,236</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generally does not indemnify end-users of its operating system and application software against legal claims that the software infringes third-party intellectual property rights. Other agreements entered into by the Company sometimes include indemnification provisions under which the Company could be subject to costs and/or damages in the event of an infringement claim against the Company or an indemnified third-party. In the opinion of management, there was not at least a reasonable possibility the Company may have incurred a material loss with respect to indemnification of end-users of its operating system or application software for infringement of third-party intellectual property rights.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However, the Company maintains directors and officers liability insurance coverage to reduce its exposure to such obligations.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Concentrations in the Available Sources of Supply of Materials and Product</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Although most components essential to the Company’s business are generally available from multiple sources, a number of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pricing fluctuations that could materially adversely affect the Company’s financial condition and operating results.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those suppliers concentrated on the production of common components instead of components customized to meet the Company’s requirements.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Substantially all of the Company’s hardware products are manufactured by outsourcing partners that are located primarily in Asia. A significant concentration of this manufacturing is currently performed by a small number of outsourcing partners, often in single locations. Certain of these outsourcing partners are the sole-sourced suppliers of components and manufacturers for many of the Company’s products. Although the Company works closely with its outsourcing partners on manufacturing schedules, the Company’s operating results could be adversely affected if its outsourcing partners were unable to meet their production commitments. The Company’s manufacturing purchase obligations typically cover its requirements for periods up to 150 days .</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19</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Other Off-Balance Sheet Commitments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i/>
          <w:iCs/>
          <w:sz w:val="18"/>
          <w:szCs w:val="18"/>
        </w:rPr>
        <w:lastRenderedPageBreak/>
        <w:t>Operating Leases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leases various equipment and facilities, including retail space, under noncancelable operating lease arrangements. The Company does not currently utilize any other off-balance sheet financing arrangements. As of December 31, 2016 , the Company’s total future minimum lease payments under noncancelable operating leases were $7.5 billion . The Company's retail store and other facility leases are typically for terms not exceeding 10 years and generally contain multi-year renewal options.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Contingencies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 subject to various legal proceedings and claims that have arisen in the ordinary course of business and that have not been fully adjudicated, as further discussed in Part II, Item 1 of this Form 10-Q under the heading “Legal Proceedings” and in Part II, Item 1A of this Form 10-Q under the heading “Risk Factors.” In the opinion of management, there was not at least a reasonable possibility the Company may have incurred a material loss, or a material loss in excess of a recorded accrual, with respect to loss contingencies for asserted legal and other claims. However, the outcome of litigation is inherently uncertain. Therefore, although management considers the likelihood of such an outcome to be remote, if one or more of these legal matters were resolved against the Company in a reporting period for amounts in excess of management’s expectations, the Company’s consolidated financial statements for that reporting period could be materially adversely affected.    </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Apple Inc. v. Samsung Electronics Co., Ltd., et al.</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On August 24, 2012, a jury returned a verdict awarding the Company $1.05 billion in its lawsuit against Samsung Electronics Co., Ltd. and affiliated parties in the United States District Court, Northern District of California, San Jose Division. On March 6, 2014, the District Court entered final judgment in favor of the Company in the amount of approximately $930 million . On May 18, 2015, the U.S. Court of Appeals for the Federal Circuit affirmed in part, and reversed in part, the decision of the District Court. As a result, the Court of Appeals ordered entry of final judgment on damages in the amount of approximately $548 million , with the District Court to determine supplemental damages and interest, as well as damages owed for products subject to the reversal in part. Samsung paid $548 million to the Company in December 2015, which was included in net sales in the Condensed Consolidated Statement of Operations. On December 6, 2016, the U.S. Supreme Court remanded the case to the U.S. Court of Appeals for the Federal Circuit for further proceedings related to the $548 million in damages. Because the case remains subject to further proceedings, the Company has not recognized any further amounts in its results of operations.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Note 11 – Segment Information and Geographic Data</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reports segment information based on the “management” approach. The management approach designates the internal reporting used by management for making decisions and assessing performance as the source of the Company’s reportable operating segments.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manages its business primarily on a geographic basis. The Company’s reportable operating segments consist of the Americas, Europe, Greater China, Japan and Rest of Asia Pacific. The Americas segment includes both North and South America. The Europe segment includes European countries, as well as India, the Middle East and Africa. The Greater China segment includes China, Hong Kong and Taiwan. The Rest of Asia Pacific segment includes Australia and those Asian countries not included in the Company’s other reportable operating segments. Although the reportable operating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 of the Notes to Consolidated Financial Statements in Part II, Item 8 of the 2016 Form 10-K.</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evaluates the performance of its reportable operating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operating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20</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shows information by reportable operating segment for the three months ended December 31, 2016 and December 26, 2015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7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7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Americas:</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sales</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31,968</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29,325</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lastRenderedPageBreak/>
              <w:t>Operating income</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10,494</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10,018</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Europe:</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sales</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18,521</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17,932</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Operating income</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5,736</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5,779</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Greater China:</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sales</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16,233</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18,373</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Operating income</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6,176</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7,576</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Japan:</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sales</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5,766</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4,794</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Operating income</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2,673</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2,240</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Rest of Asia Pacific:</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Net sales</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5,863</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5,448</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774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Operating income</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2,229</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2,032</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 reconciliation of the Company’s segment operating income to the Condensed Consolidated Statements of Operations for the three months ended December 31, 2016 and December 26, 2015 is as follows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2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2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2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2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2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2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Segment operating income</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27,308</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27,645</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Research and development expense</w:t>
            </w:r>
          </w:p>
        </w:tc>
        <w:tc>
          <w:tcPr>
            <w:tcW w:w="15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(2,871</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(2,404</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corporate expenses, net</w:t>
            </w:r>
          </w:p>
        </w:tc>
        <w:tc>
          <w:tcPr>
            <w:tcW w:w="158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(1,078</w:t>
            </w:r>
          </w:p>
        </w:tc>
        <w:tc>
          <w:tcPr>
            <w:tcW w:w="2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(1,070</w:t>
            </w:r>
          </w:p>
        </w:tc>
        <w:tc>
          <w:tcPr>
            <w:tcW w:w="2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767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 operating income</w:t>
            </w:r>
          </w:p>
        </w:tc>
        <w:tc>
          <w:tcPr>
            <w:tcW w:w="24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23,359</w:t>
            </w:r>
          </w:p>
        </w:tc>
        <w:tc>
          <w:tcPr>
            <w:tcW w:w="24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24,171</w:t>
            </w:r>
          </w:p>
        </w:tc>
        <w:tc>
          <w:tcPr>
            <w:tcW w:w="242" w:type="dxa"/>
            <w:tcBorders>
              <w:top w:val="single" w:sz="6" w:space="0" w:color="auto"/>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21</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920"/>
        <w:gridCol w:w="8634"/>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63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2.</w:t>
            </w:r>
          </w:p>
        </w:tc>
        <w:tc>
          <w:tcPr>
            <w:tcW w:w="8634"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Management’s Discussion and Analysis of Financial Condition and Results of Operations</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i/>
          <w:iCs/>
          <w:sz w:val="18"/>
          <w:szCs w:val="18"/>
        </w:rPr>
        <w:t>This section and other parts of this Quarterly Report on Form 10</w:t>
      </w:r>
      <w:r>
        <w:rPr>
          <w:rFonts w:ascii="Cambria Math" w:eastAsiaTheme="minorEastAsia" w:hAnsi="Cambria Math" w:cs="Cambria Math"/>
          <w:i/>
          <w:iCs/>
          <w:sz w:val="18"/>
          <w:szCs w:val="18"/>
        </w:rPr>
        <w:t>‑</w:t>
      </w:r>
      <w:r>
        <w:rPr>
          <w:rFonts w:ascii="Times" w:eastAsiaTheme="minorEastAsia" w:hAnsi="Times" w:cs="Times"/>
          <w:i/>
          <w:iCs/>
          <w:sz w:val="18"/>
          <w:szCs w:val="18"/>
        </w:rPr>
        <w:t>Q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Forward-looking statements can also be identified by words such as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future,</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anticipates,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believes,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estimates,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expects,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intends,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plans,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predicts,</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will,</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would,</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could,</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can,</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may,</w:t>
      </w:r>
      <w:r>
        <w:rPr>
          <w:rFonts w:ascii="Times" w:eastAsiaTheme="minorEastAsia" w:hAnsi="Times" w:cs="Times"/>
          <w:sz w:val="18"/>
          <w:szCs w:val="18"/>
        </w:rPr>
        <w:t xml:space="preserve"> </w:t>
      </w:r>
      <w:r>
        <w:rPr>
          <w:rFonts w:ascii="Helvetica" w:eastAsiaTheme="minorEastAsia" w:hAnsi="Helvetica" w:cs="Helvetica"/>
          <w:i/>
          <w:iCs/>
          <w:sz w:val="18"/>
          <w:szCs w:val="18"/>
        </w:rPr>
        <w:t>”</w:t>
      </w:r>
      <w:r>
        <w:rPr>
          <w:rFonts w:ascii="Times" w:eastAsiaTheme="minorEastAsia" w:hAnsi="Times" w:cs="Times"/>
          <w:sz w:val="18"/>
          <w:szCs w:val="18"/>
        </w:rPr>
        <w:t xml:space="preserve"> </w:t>
      </w:r>
      <w:r>
        <w:rPr>
          <w:rFonts w:ascii="Times" w:eastAsiaTheme="minorEastAsia" w:hAnsi="Times" w:cs="Times"/>
          <w:i/>
          <w:iCs/>
          <w:sz w:val="18"/>
          <w:szCs w:val="18"/>
        </w:rPr>
        <w:t>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II, Item 1A of this Form 10-Q under the heading “Risk Factors,” which are incorporated herein by reference. The following discussion should be read in conjunction with the Company’s Annual Report on Form 10-K for the year ended</w:t>
      </w:r>
      <w:r>
        <w:rPr>
          <w:rFonts w:ascii="Times" w:eastAsiaTheme="minorEastAsia" w:hAnsi="Times" w:cs="Times"/>
          <w:sz w:val="18"/>
          <w:szCs w:val="18"/>
        </w:rPr>
        <w:t xml:space="preserve"> </w:t>
      </w:r>
      <w:r>
        <w:rPr>
          <w:rFonts w:ascii="Times" w:eastAsiaTheme="minorEastAsia" w:hAnsi="Times" w:cs="Times"/>
          <w:i/>
          <w:iCs/>
          <w:sz w:val="18"/>
          <w:szCs w:val="18"/>
        </w:rPr>
        <w:t>September 24, 2016</w:t>
      </w:r>
      <w:r>
        <w:rPr>
          <w:rFonts w:ascii="Times" w:eastAsiaTheme="minorEastAsia" w:hAnsi="Times" w:cs="Times"/>
          <w:sz w:val="18"/>
          <w:szCs w:val="18"/>
        </w:rPr>
        <w:t xml:space="preserve"> </w:t>
      </w:r>
      <w:r>
        <w:rPr>
          <w:rFonts w:ascii="Times" w:eastAsiaTheme="minorEastAsia" w:hAnsi="Times" w:cs="Times"/>
          <w:i/>
          <w:iCs/>
          <w:sz w:val="18"/>
          <w:szCs w:val="18"/>
        </w:rPr>
        <w:t>(the “</w:t>
      </w:r>
      <w:r>
        <w:rPr>
          <w:rFonts w:ascii="Times" w:eastAsiaTheme="minorEastAsia" w:hAnsi="Times" w:cs="Times"/>
          <w:sz w:val="18"/>
          <w:szCs w:val="18"/>
        </w:rPr>
        <w:t xml:space="preserve"> </w:t>
      </w:r>
      <w:r>
        <w:rPr>
          <w:rFonts w:ascii="Times" w:eastAsiaTheme="minorEastAsia" w:hAnsi="Times" w:cs="Times"/>
          <w:i/>
          <w:iCs/>
          <w:sz w:val="18"/>
          <w:szCs w:val="18"/>
        </w:rPr>
        <w:t>2016</w:t>
      </w:r>
      <w:r>
        <w:rPr>
          <w:rFonts w:ascii="Times" w:eastAsiaTheme="minorEastAsia" w:hAnsi="Times" w:cs="Times"/>
          <w:sz w:val="18"/>
          <w:szCs w:val="18"/>
        </w:rPr>
        <w:t xml:space="preserve"> </w:t>
      </w:r>
      <w:r>
        <w:rPr>
          <w:rFonts w:ascii="Times" w:eastAsiaTheme="minorEastAsia" w:hAnsi="Times" w:cs="Times"/>
          <w:i/>
          <w:iCs/>
          <w:sz w:val="18"/>
          <w:szCs w:val="18"/>
        </w:rPr>
        <w:t>Form 10-K”) filed with the U.S. Securities and Exchange Commission (the “SEC”) and the condensed consolidated financial statements and notes thereto included elsewhere in this Form 10-Q.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wholly-owned subsidiaries, unless otherwise stated. The Company assumes no obligation to revise or update any forward-looking statements for any reason, except as required by law.</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lastRenderedPageBreak/>
        <w:t>Available Information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The Company’s Annual Report on Form 10-K, Quarterly Reports on Form 10-Q, Current Reports on Form 8-K, and amendments to reports filed pursuant to Sections 13(a) and 15(d) of the Securities Exchange Act of 1934, as amended (the “Exchange Act”), are filed with the SEC. The Company is subject to the informational requirements of the Exchange Act and files or furnishes reports, proxy statements, and other information with the SEC. Such reports and other information filed by the Company with the SEC are available free of charge on the Company’s website at </w:t>
      </w:r>
      <w:r>
        <w:rPr>
          <w:rFonts w:ascii="Times" w:eastAsiaTheme="minorEastAsia" w:hAnsi="Times" w:cs="Times"/>
          <w:sz w:val="18"/>
          <w:szCs w:val="18"/>
          <w:u w:val="single"/>
        </w:rPr>
        <w:t>investor.apple.com/sec.cfm</w:t>
      </w:r>
      <w:r>
        <w:rPr>
          <w:rFonts w:ascii="Times" w:eastAsiaTheme="minorEastAsia" w:hAnsi="Times" w:cs="Times"/>
          <w:sz w:val="18"/>
          <w:szCs w:val="18"/>
        </w:rPr>
        <w:t xml:space="preserve"> when such reports are available on the SEC’s website. The public may read and copy any materials filed by the Company with the SEC at the SEC’s Public Reference Room at 100 F Street, NE, Room 1580, Washington, DC 20549. The public may obtain information on the operation of the Public Reference Room by calling the SEC at 1-800-SEC-0330. The SEC maintains an internet site that contains reports, proxy and information statements and other information regarding issuers that file electronically with the SEC at </w:t>
      </w:r>
      <w:r>
        <w:rPr>
          <w:rFonts w:ascii="Times" w:eastAsiaTheme="minorEastAsia" w:hAnsi="Times" w:cs="Times"/>
          <w:sz w:val="18"/>
          <w:szCs w:val="18"/>
          <w:u w:val="single"/>
        </w:rPr>
        <w:t>www.sec.gov</w:t>
      </w:r>
      <w:r>
        <w:rPr>
          <w:rFonts w:ascii="Times" w:eastAsiaTheme="minorEastAsia" w:hAnsi="Times" w:cs="Times"/>
          <w:sz w:val="18"/>
          <w:szCs w:val="18"/>
        </w:rPr>
        <w:t xml:space="preserve"> . The contents of websites are not incorporated into this filing. Further, the Company’s references to website URLs are intended to be inactive textual references only.</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Overview and Highlights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designs, manufactures and markets mobile communication and media devices, personal computers and portable digital music players, and sells a variety of related software, services, accessories, networking solutions and third-party digital content and applications. The Company’s products and services include iPhone</w:t>
      </w:r>
      <w:r>
        <w:rPr>
          <w:rFonts w:ascii="Times" w:eastAsiaTheme="minorEastAsia" w:hAnsi="Times" w:cs="Times"/>
          <w:sz w:val="20"/>
          <w:szCs w:val="20"/>
        </w:rPr>
        <w:t xml:space="preserve"> ® </w:t>
      </w:r>
      <w:r>
        <w:rPr>
          <w:rFonts w:ascii="Times" w:eastAsiaTheme="minorEastAsia" w:hAnsi="Times" w:cs="Times"/>
          <w:sz w:val="18"/>
          <w:szCs w:val="18"/>
        </w:rPr>
        <w:t>, iPad</w:t>
      </w:r>
      <w:r>
        <w:rPr>
          <w:rFonts w:ascii="Times" w:eastAsiaTheme="minorEastAsia" w:hAnsi="Times" w:cs="Times"/>
          <w:sz w:val="20"/>
          <w:szCs w:val="20"/>
        </w:rPr>
        <w:t xml:space="preserve"> ® </w:t>
      </w:r>
      <w:r>
        <w:rPr>
          <w:rFonts w:ascii="Times" w:eastAsiaTheme="minorEastAsia" w:hAnsi="Times" w:cs="Times"/>
          <w:sz w:val="18"/>
          <w:szCs w:val="18"/>
        </w:rPr>
        <w:t>, Mac</w:t>
      </w:r>
      <w:r>
        <w:rPr>
          <w:rFonts w:ascii="Times" w:eastAsiaTheme="minorEastAsia" w:hAnsi="Times" w:cs="Times"/>
          <w:sz w:val="20"/>
          <w:szCs w:val="20"/>
        </w:rPr>
        <w:t xml:space="preserve"> ® </w:t>
      </w:r>
      <w:r>
        <w:rPr>
          <w:rFonts w:ascii="Times" w:eastAsiaTheme="minorEastAsia" w:hAnsi="Times" w:cs="Times"/>
          <w:sz w:val="18"/>
          <w:szCs w:val="18"/>
        </w:rPr>
        <w:t>, iPod</w:t>
      </w:r>
      <w:r>
        <w:rPr>
          <w:rFonts w:ascii="Times" w:eastAsiaTheme="minorEastAsia" w:hAnsi="Times" w:cs="Times"/>
          <w:sz w:val="20"/>
          <w:szCs w:val="20"/>
        </w:rPr>
        <w:t xml:space="preserve"> ® </w:t>
      </w:r>
      <w:r>
        <w:rPr>
          <w:rFonts w:ascii="Times" w:eastAsiaTheme="minorEastAsia" w:hAnsi="Times" w:cs="Times"/>
          <w:sz w:val="18"/>
          <w:szCs w:val="18"/>
        </w:rPr>
        <w:t>, Apple Watch</w:t>
      </w:r>
      <w:r>
        <w:rPr>
          <w:rFonts w:ascii="Times" w:eastAsiaTheme="minorEastAsia" w:hAnsi="Times" w:cs="Times"/>
          <w:sz w:val="20"/>
          <w:szCs w:val="20"/>
        </w:rPr>
        <w:t xml:space="preserve"> ® </w:t>
      </w:r>
      <w:r>
        <w:rPr>
          <w:rFonts w:ascii="Times" w:eastAsiaTheme="minorEastAsia" w:hAnsi="Times" w:cs="Times"/>
          <w:sz w:val="18"/>
          <w:szCs w:val="18"/>
        </w:rPr>
        <w:t>, Apple TV</w:t>
      </w:r>
      <w:r>
        <w:rPr>
          <w:rFonts w:ascii="Times" w:eastAsiaTheme="minorEastAsia" w:hAnsi="Times" w:cs="Times"/>
          <w:sz w:val="20"/>
          <w:szCs w:val="20"/>
        </w:rPr>
        <w:t xml:space="preserve"> ® </w:t>
      </w:r>
      <w:r>
        <w:rPr>
          <w:rFonts w:ascii="Times" w:eastAsiaTheme="minorEastAsia" w:hAnsi="Times" w:cs="Times"/>
          <w:sz w:val="18"/>
          <w:szCs w:val="18"/>
        </w:rPr>
        <w:t>, a portfolio of consumer and professional software applications, iOS, macOS™, watchOS</w:t>
      </w:r>
      <w:r>
        <w:rPr>
          <w:rFonts w:ascii="Times" w:eastAsiaTheme="minorEastAsia" w:hAnsi="Times" w:cs="Times"/>
          <w:sz w:val="20"/>
          <w:szCs w:val="20"/>
        </w:rPr>
        <w:t xml:space="preserve"> ® </w:t>
      </w:r>
      <w:r>
        <w:rPr>
          <w:rFonts w:ascii="Times" w:eastAsiaTheme="minorEastAsia" w:hAnsi="Times" w:cs="Times"/>
          <w:sz w:val="18"/>
          <w:szCs w:val="18"/>
        </w:rPr>
        <w:t>and tvOS™ operating systems, iCloud</w:t>
      </w:r>
      <w:r>
        <w:rPr>
          <w:rFonts w:ascii="Times" w:eastAsiaTheme="minorEastAsia" w:hAnsi="Times" w:cs="Times"/>
          <w:sz w:val="20"/>
          <w:szCs w:val="20"/>
        </w:rPr>
        <w:t xml:space="preserve"> ® </w:t>
      </w:r>
      <w:r>
        <w:rPr>
          <w:rFonts w:ascii="Times" w:eastAsiaTheme="minorEastAsia" w:hAnsi="Times" w:cs="Times"/>
          <w:sz w:val="18"/>
          <w:szCs w:val="18"/>
        </w:rPr>
        <w:t>, Apple Pay</w:t>
      </w:r>
      <w:r>
        <w:rPr>
          <w:rFonts w:ascii="Times" w:eastAsiaTheme="minorEastAsia" w:hAnsi="Times" w:cs="Times"/>
          <w:sz w:val="20"/>
          <w:szCs w:val="20"/>
        </w:rPr>
        <w:t xml:space="preserve"> ® </w:t>
      </w:r>
      <w:r>
        <w:rPr>
          <w:rFonts w:ascii="Times" w:eastAsiaTheme="minorEastAsia" w:hAnsi="Times" w:cs="Times"/>
          <w:sz w:val="18"/>
          <w:szCs w:val="18"/>
        </w:rPr>
        <w:t>and a variety of accessory, service and support offerings. The Company sells and delivers digital content and applications through the iTunes Store</w:t>
      </w:r>
      <w:r>
        <w:rPr>
          <w:rFonts w:ascii="Times" w:eastAsiaTheme="minorEastAsia" w:hAnsi="Times" w:cs="Times"/>
          <w:sz w:val="20"/>
          <w:szCs w:val="20"/>
        </w:rPr>
        <w:t xml:space="preserve"> ® </w:t>
      </w:r>
      <w:r>
        <w:rPr>
          <w:rFonts w:ascii="Times" w:eastAsiaTheme="minorEastAsia" w:hAnsi="Times" w:cs="Times"/>
          <w:sz w:val="18"/>
          <w:szCs w:val="18"/>
        </w:rPr>
        <w:t>, App Store</w:t>
      </w:r>
      <w:r>
        <w:rPr>
          <w:rFonts w:ascii="Times" w:eastAsiaTheme="minorEastAsia" w:hAnsi="Times" w:cs="Times"/>
          <w:sz w:val="20"/>
          <w:szCs w:val="20"/>
        </w:rPr>
        <w:t xml:space="preserve"> ® </w:t>
      </w:r>
      <w:r>
        <w:rPr>
          <w:rFonts w:ascii="Times" w:eastAsiaTheme="minorEastAsia" w:hAnsi="Times" w:cs="Times"/>
          <w:sz w:val="18"/>
          <w:szCs w:val="18"/>
        </w:rPr>
        <w:t>, Mac App Store, TV App Store, iBooks Store™ and Apple Music</w:t>
      </w:r>
      <w:r>
        <w:rPr>
          <w:rFonts w:ascii="Times" w:eastAsiaTheme="minorEastAsia" w:hAnsi="Times" w:cs="Times"/>
          <w:sz w:val="20"/>
          <w:szCs w:val="20"/>
        </w:rPr>
        <w:t xml:space="preserve"> ® </w:t>
      </w:r>
      <w:r>
        <w:rPr>
          <w:rFonts w:ascii="Times" w:eastAsiaTheme="minorEastAsia" w:hAnsi="Times" w:cs="Times"/>
          <w:sz w:val="18"/>
          <w:szCs w:val="18"/>
        </w:rPr>
        <w:t>(collectively “Digital Content and Services”). The Company sells its products worldwide through its retail stores, online stores and direct sales force, as well as through third-party cellular network carriers, wholesalers, retailers and value-added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Business Strategy</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products and solutions with innovative design, superior ease-of-use and seamless integration. As part of its strategy, the Company continues to expand its platform for the discovery and delivery of digital content and applications through its Digital Content and Services, which allows customers to discover and download digital content, iOS, Mac, Apple Watch and Apple TV applications, and books through either a Mac or Windows personal computer or through iPhone, iPad and iPod touch</w:t>
      </w:r>
      <w:r>
        <w:rPr>
          <w:rFonts w:ascii="Times" w:eastAsiaTheme="minorEastAsia" w:hAnsi="Times" w:cs="Times"/>
          <w:sz w:val="20"/>
          <w:szCs w:val="20"/>
        </w:rPr>
        <w:t xml:space="preserve"> ® </w:t>
      </w:r>
      <w:r>
        <w:rPr>
          <w:rFonts w:ascii="Times" w:eastAsiaTheme="minorEastAsia" w:hAnsi="Times" w:cs="Times"/>
          <w:sz w:val="18"/>
          <w:szCs w:val="18"/>
        </w:rPr>
        <w:t>devices (“iOS devices”), Apple TV and Apple Watch. The Company also supports a community for the development of third-party software and hardware products and digital content that complement the Company’s offerings. The Company believes a high-quality buying experience with knowledgeable salespersons who can convey the value of the Company’s products and services greatly enhances its ability to attract and retain customers. Therefore, the Company’s strategy also includes building and expanding its own retail and online stores and its third-party distribution network to effectively reach more customers and provide them with a high-quality sales and post-sales support experience. The Company believes ongoing investment in research and development (“R&amp;D”), marketing and advertising is critical to the development and sale of innovative products and technologies.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22</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Business Seasonality and Product Introductions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has historically experienced higher net sales in its first quarter compared to other quarters in its fiscal year due in part to seasonal holiday demand. Additionally, new product introductions can significantly impact net sales, product costs and operating expenses. Product introductions can also impact the Company’s net sales to its indirect distribution channels as these channels are filled with new product inventory following a product introduction, and often, channel inventory of a particular product declines as the next related major product launch approaches. Net sales can also be affected when consumers and distributors anticipate a product introduction. However, neither historical seasonal patterns nor historical patterns of product introductions should be considered reliable indicators of the Company’s future pattern of product introductions, future net sales or financial performance.</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Fiscal Period</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fiscal year is the 52 or 53-week period that ends on the last Saturday of September. The Company’s fiscal year 2017 will include 53 weeks and will end on September 30, 2017 . A 14th week has been included in the first quarter of 2017, as is done every five or six years, to realign the Company’s fiscal quarters with calendar quarters.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First</w:t>
      </w:r>
      <w:r>
        <w:rPr>
          <w:rFonts w:ascii="Times" w:eastAsiaTheme="minorEastAsia" w:hAnsi="Times" w:cs="Times"/>
          <w:sz w:val="18"/>
          <w:szCs w:val="18"/>
        </w:rPr>
        <w:t xml:space="preserve"> </w:t>
      </w:r>
      <w:r>
        <w:rPr>
          <w:rFonts w:ascii="Times" w:eastAsiaTheme="minorEastAsia" w:hAnsi="Times" w:cs="Times"/>
          <w:i/>
          <w:iCs/>
          <w:sz w:val="18"/>
          <w:szCs w:val="18"/>
        </w:rPr>
        <w:t>Quarter Fiscal</w:t>
      </w:r>
      <w:r>
        <w:rPr>
          <w:rFonts w:ascii="Times" w:eastAsiaTheme="minorEastAsia" w:hAnsi="Times" w:cs="Times"/>
          <w:sz w:val="18"/>
          <w:szCs w:val="18"/>
        </w:rPr>
        <w:t xml:space="preserve"> </w:t>
      </w:r>
      <w:r>
        <w:rPr>
          <w:rFonts w:ascii="Times" w:eastAsiaTheme="minorEastAsia" w:hAnsi="Times" w:cs="Times"/>
          <w:i/>
          <w:iCs/>
          <w:sz w:val="18"/>
          <w:szCs w:val="18"/>
        </w:rPr>
        <w:t>2017</w:t>
      </w:r>
      <w:r>
        <w:rPr>
          <w:rFonts w:ascii="Times" w:eastAsiaTheme="minorEastAsia" w:hAnsi="Times" w:cs="Times"/>
          <w:sz w:val="18"/>
          <w:szCs w:val="18"/>
        </w:rPr>
        <w:t xml:space="preserve"> </w:t>
      </w:r>
      <w:r>
        <w:rPr>
          <w:rFonts w:ascii="Times" w:eastAsiaTheme="minorEastAsia" w:hAnsi="Times" w:cs="Times"/>
          <w:i/>
          <w:iCs/>
          <w:sz w:val="18"/>
          <w:szCs w:val="18"/>
        </w:rPr>
        <w:t>Highlights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Net sales grew 3% or $2.5 billion during the first quarter of 2017 compared to the first quarter of 2016, primarily driven by strong growth in iPhone and Services, partially offset by lower iPad sales. The positive impact of having an additional week in the first quarter of 2017 was primarily offset by lower year-over-year channel inventory growth, an earlier launch of iPhone 7 and 7 Plus as compared to the prior year and the effect of weakness in foreign currencies relative to the U.S. dollar.</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During the first quarter of 2017, the Company introduced a new MacBook Pro</w:t>
      </w:r>
      <w:r>
        <w:rPr>
          <w:rFonts w:ascii="Times" w:eastAsiaTheme="minorEastAsia" w:hAnsi="Times" w:cs="Times"/>
          <w:sz w:val="20"/>
          <w:szCs w:val="20"/>
        </w:rPr>
        <w:t xml:space="preserve"> ® </w:t>
      </w:r>
      <w:r>
        <w:rPr>
          <w:rFonts w:ascii="Times" w:eastAsiaTheme="minorEastAsia" w:hAnsi="Times" w:cs="Times"/>
          <w:sz w:val="18"/>
          <w:szCs w:val="18"/>
        </w:rPr>
        <w:t>with Touch Bar™, an interface that replaces the traditional row of function keys, and released AirPods™, which are new wireless headphones.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lastRenderedPageBreak/>
        <w:t>Sales Data</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sz w:val="18"/>
          <w:szCs w:val="18"/>
        </w:rPr>
        <w:t>The following table shows net sales by operating segment and net sales and unit sales by product for</w:t>
      </w:r>
      <w:r>
        <w:rPr>
          <w:rFonts w:ascii="Times" w:eastAsiaTheme="minorEastAsia" w:hAnsi="Times" w:cs="Times"/>
          <w:sz w:val="20"/>
          <w:szCs w:val="20"/>
        </w:rPr>
        <w:t xml:space="preserve"> </w:t>
      </w:r>
      <w:r>
        <w:rPr>
          <w:rFonts w:ascii="Times" w:eastAsiaTheme="minorEastAsia" w:hAnsi="Times" w:cs="Times"/>
          <w:sz w:val="18"/>
          <w:szCs w:val="18"/>
        </w:rPr>
        <w:t>the three months ended December 31, 2016</w:t>
      </w:r>
      <w:r>
        <w:rPr>
          <w:rFonts w:ascii="Times" w:eastAsiaTheme="minorEastAsia" w:hAnsi="Times" w:cs="Times"/>
          <w:sz w:val="20"/>
          <w:szCs w:val="20"/>
        </w:rPr>
        <w:t xml:space="preserve"> </w:t>
      </w:r>
      <w:r>
        <w:rPr>
          <w:rFonts w:ascii="Times" w:eastAsiaTheme="minorEastAsia" w:hAnsi="Times" w:cs="Times"/>
          <w:sz w:val="18"/>
          <w:szCs w:val="18"/>
        </w:rPr>
        <w:t>and</w:t>
      </w:r>
      <w:r>
        <w:rPr>
          <w:rFonts w:ascii="Times" w:eastAsiaTheme="minorEastAsia" w:hAnsi="Times" w:cs="Times"/>
          <w:sz w:val="20"/>
          <w:szCs w:val="20"/>
        </w:rPr>
        <w:t xml:space="preserve"> </w:t>
      </w:r>
      <w:r>
        <w:rPr>
          <w:rFonts w:ascii="Times" w:eastAsiaTheme="minorEastAsia" w:hAnsi="Times" w:cs="Times"/>
          <w:sz w:val="18"/>
          <w:szCs w:val="18"/>
        </w:rPr>
        <w:t>December 26, 2015</w:t>
      </w:r>
      <w:r>
        <w:rPr>
          <w:rFonts w:ascii="Times" w:eastAsiaTheme="minorEastAsia" w:hAnsi="Times" w:cs="Times"/>
          <w:sz w:val="20"/>
          <w:szCs w:val="20"/>
        </w:rPr>
        <w:t xml:space="preserve"> </w:t>
      </w:r>
      <w:r>
        <w:rPr>
          <w:rFonts w:ascii="Times" w:eastAsiaTheme="minorEastAsia" w:hAnsi="Times" w:cs="Times"/>
          <w:sz w:val="18"/>
          <w:szCs w:val="18"/>
        </w:rPr>
        <w:t>(dollars in millions and units in thousands):</w:t>
      </w:r>
      <w:r>
        <w:rPr>
          <w:rFonts w:ascii="Times" w:eastAsiaTheme="minorEastAsia" w:hAnsi="Times" w:cs="Times"/>
          <w:sz w:val="20"/>
          <w:szCs w:val="20"/>
        </w:rPr>
        <w:t xml:space="preserve">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58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65"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6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 by Operating Segment:</w:t>
            </w:r>
          </w:p>
        </w:tc>
        <w:tc>
          <w:tcPr>
            <w:tcW w:w="17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Americas</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31,968</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29,325</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9</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Europe</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18,521</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17,932</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3</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Greater China</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16,233</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18,373</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(12</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Japan</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5,766</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4,794</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20</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Rest of Asia Pacific</w:t>
            </w:r>
          </w:p>
        </w:tc>
        <w:tc>
          <w:tcPr>
            <w:tcW w:w="161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5,863</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5,448</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8</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Total net sales</w:t>
            </w:r>
          </w:p>
        </w:tc>
        <w:tc>
          <w:tcPr>
            <w:tcW w:w="286"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78,351</w:t>
            </w:r>
          </w:p>
        </w:tc>
        <w:tc>
          <w:tcPr>
            <w:tcW w:w="154"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75,872</w:t>
            </w:r>
          </w:p>
        </w:tc>
        <w:tc>
          <w:tcPr>
            <w:tcW w:w="154"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3</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 by Product:</w:t>
            </w:r>
          </w:p>
        </w:tc>
        <w:tc>
          <w:tcPr>
            <w:tcW w:w="17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firstLine="390"/>
              <w:rPr>
                <w:rFonts w:ascii="Times" w:eastAsiaTheme="minorEastAsia" w:hAnsi="Times" w:cs="Times"/>
                <w:sz w:val="24"/>
                <w:szCs w:val="24"/>
              </w:rPr>
            </w:pPr>
            <w:r>
              <w:rPr>
                <w:rFonts w:ascii="Times" w:eastAsiaTheme="minorEastAsia" w:hAnsi="Times" w:cs="Times"/>
                <w:sz w:val="18"/>
                <w:szCs w:val="18"/>
              </w:rPr>
              <w:t>iPhone  (1)</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54,378</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51,635</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5</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firstLine="390"/>
              <w:rPr>
                <w:rFonts w:ascii="Times" w:eastAsiaTheme="minorEastAsia" w:hAnsi="Times" w:cs="Times"/>
                <w:sz w:val="24"/>
                <w:szCs w:val="24"/>
              </w:rPr>
            </w:pPr>
            <w:r>
              <w:rPr>
                <w:rFonts w:ascii="Times" w:eastAsiaTheme="minorEastAsia" w:hAnsi="Times" w:cs="Times"/>
                <w:sz w:val="18"/>
                <w:szCs w:val="18"/>
              </w:rPr>
              <w:t>iPad  (1)</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5,533</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7,084</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(22</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firstLine="390"/>
              <w:rPr>
                <w:rFonts w:ascii="Times" w:eastAsiaTheme="minorEastAsia" w:hAnsi="Times" w:cs="Times"/>
                <w:sz w:val="24"/>
                <w:szCs w:val="24"/>
              </w:rPr>
            </w:pPr>
            <w:r>
              <w:rPr>
                <w:rFonts w:ascii="Times" w:eastAsiaTheme="minorEastAsia" w:hAnsi="Times" w:cs="Times"/>
                <w:sz w:val="18"/>
                <w:szCs w:val="18"/>
              </w:rPr>
              <w:t>Mac (1)</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7,244</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6,746</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7</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firstLine="390"/>
              <w:rPr>
                <w:rFonts w:ascii="Times" w:eastAsiaTheme="minorEastAsia" w:hAnsi="Times" w:cs="Times"/>
                <w:sz w:val="24"/>
                <w:szCs w:val="24"/>
              </w:rPr>
            </w:pPr>
            <w:r>
              <w:rPr>
                <w:rFonts w:ascii="Times" w:eastAsiaTheme="minorEastAsia" w:hAnsi="Times" w:cs="Times"/>
                <w:sz w:val="18"/>
                <w:szCs w:val="18"/>
              </w:rPr>
              <w:t>Services (2)</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7,172</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6,056</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18</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firstLine="390"/>
              <w:rPr>
                <w:rFonts w:ascii="Times" w:eastAsiaTheme="minorEastAsia" w:hAnsi="Times" w:cs="Times"/>
                <w:sz w:val="24"/>
                <w:szCs w:val="24"/>
              </w:rPr>
            </w:pPr>
            <w:r>
              <w:rPr>
                <w:rFonts w:ascii="Times" w:eastAsiaTheme="minorEastAsia" w:hAnsi="Times" w:cs="Times"/>
                <w:sz w:val="18"/>
                <w:szCs w:val="18"/>
              </w:rPr>
              <w:t>Other Products (1)(3)</w:t>
            </w:r>
          </w:p>
        </w:tc>
        <w:tc>
          <w:tcPr>
            <w:tcW w:w="161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4,024</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4,351</w:t>
            </w:r>
          </w:p>
        </w:tc>
        <w:tc>
          <w:tcPr>
            <w:tcW w:w="15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(8</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8"/>
                <w:szCs w:val="18"/>
              </w:rPr>
              <w:t>Total net sales</w:t>
            </w:r>
          </w:p>
        </w:tc>
        <w:tc>
          <w:tcPr>
            <w:tcW w:w="28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78,351</w:t>
            </w: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75,872</w:t>
            </w:r>
          </w:p>
        </w:tc>
        <w:tc>
          <w:tcPr>
            <w:tcW w:w="15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3</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Unit Sales by Product:</w:t>
            </w:r>
          </w:p>
        </w:tc>
        <w:tc>
          <w:tcPr>
            <w:tcW w:w="17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6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iPhone</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78,290</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74,779</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5</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iPad</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13,081</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16,122</w:t>
            </w:r>
          </w:p>
        </w:tc>
        <w:tc>
          <w:tcPr>
            <w:tcW w:w="15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(19</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9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Mac</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5,374</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5,312</w:t>
            </w:r>
          </w:p>
        </w:tc>
        <w:tc>
          <w:tcPr>
            <w:tcW w:w="1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9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 %</w:t>
            </w: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r>
        <w:rPr>
          <w:rFonts w:ascii="Times" w:eastAsiaTheme="minorEastAsia" w:hAnsi="Times" w:cs="Times"/>
          <w:sz w:val="12"/>
          <w:szCs w:val="12"/>
        </w:rPr>
        <w:t> </w:t>
      </w:r>
    </w:p>
    <w:tbl>
      <w:tblPr>
        <w:tblW w:w="0" w:type="auto"/>
        <w:tblBorders>
          <w:top w:val="nil"/>
          <w:left w:val="nil"/>
          <w:right w:val="nil"/>
        </w:tblBorders>
        <w:tblLayout w:type="fixed"/>
        <w:tblLook w:val="0000" w:firstRow="0" w:lastRow="0" w:firstColumn="0" w:lastColumn="0" w:noHBand="0" w:noVBand="0"/>
      </w:tblPr>
      <w:tblGrid>
        <w:gridCol w:w="740"/>
        <w:gridCol w:w="8758"/>
      </w:tblGrid>
      <w:tr w:rsidR="00647C25">
        <w:tblPrEx>
          <w:tblCellMar>
            <w:top w:w="0" w:type="dxa"/>
            <w:bottom w:w="0" w:type="dxa"/>
          </w:tblCellMar>
        </w:tblPrEx>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875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60" w:right="-2864"/>
              <w:rPr>
                <w:rFonts w:ascii="Times" w:eastAsiaTheme="minorEastAsia" w:hAnsi="Times" w:cs="Times"/>
                <w:sz w:val="24"/>
                <w:szCs w:val="24"/>
              </w:rPr>
            </w:pPr>
            <w:r>
              <w:rPr>
                <w:rFonts w:ascii="Times" w:eastAsiaTheme="minorEastAsia" w:hAnsi="Times" w:cs="Times"/>
                <w:sz w:val="16"/>
                <w:szCs w:val="16"/>
              </w:rPr>
              <w:t>(1)</w:t>
            </w:r>
          </w:p>
        </w:tc>
        <w:tc>
          <w:tcPr>
            <w:tcW w:w="875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Includes deferrals and amortization of related software upgrade rights and non-software services.</w:t>
            </w:r>
          </w:p>
        </w:tc>
      </w:tr>
      <w:tr w:rsidR="00647C25">
        <w:tblPrEx>
          <w:tblBorders>
            <w:top w:val="none" w:sz="0" w:space="0" w:color="auto"/>
          </w:tblBorders>
          <w:tblCellMar>
            <w:top w:w="0" w:type="dxa"/>
            <w:bottom w:w="0" w:type="dxa"/>
          </w:tblCellMar>
        </w:tblPrEx>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55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60" w:right="-2864"/>
              <w:rPr>
                <w:rFonts w:ascii="Times" w:eastAsiaTheme="minorEastAsia" w:hAnsi="Times" w:cs="Times"/>
                <w:sz w:val="24"/>
                <w:szCs w:val="24"/>
              </w:rPr>
            </w:pPr>
            <w:r>
              <w:rPr>
                <w:rFonts w:ascii="Times" w:eastAsiaTheme="minorEastAsia" w:hAnsi="Times" w:cs="Times"/>
                <w:sz w:val="16"/>
                <w:szCs w:val="16"/>
              </w:rPr>
              <w:t>(2)</w:t>
            </w:r>
          </w:p>
        </w:tc>
        <w:tc>
          <w:tcPr>
            <w:tcW w:w="551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Includes revenue from Digital Content and Services, AppleCare</w:t>
            </w:r>
            <w:r>
              <w:rPr>
                <w:rFonts w:ascii="Times" w:eastAsiaTheme="minorEastAsia" w:hAnsi="Times" w:cs="Times"/>
                <w:sz w:val="20"/>
                <w:szCs w:val="20"/>
              </w:rPr>
              <w:t xml:space="preserve"> ® </w:t>
            </w:r>
            <w:r>
              <w:rPr>
                <w:rFonts w:ascii="Times" w:eastAsiaTheme="minorEastAsia" w:hAnsi="Times" w:cs="Times"/>
                <w:sz w:val="16"/>
                <w:szCs w:val="16"/>
              </w:rPr>
              <w:t>, Apple Pay, licensing and other services.</w:t>
            </w:r>
          </w:p>
        </w:tc>
      </w:tr>
      <w:tr w:rsidR="00647C25">
        <w:tblPrEx>
          <w:tblBorders>
            <w:top w:val="none" w:sz="0" w:space="0" w:color="auto"/>
          </w:tblBorders>
          <w:tblCellMar>
            <w:top w:w="0" w:type="dxa"/>
            <w:bottom w:w="0" w:type="dxa"/>
          </w:tblCellMar>
        </w:tblPrEx>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551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74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60" w:right="-2864"/>
              <w:rPr>
                <w:rFonts w:ascii="Times" w:eastAsiaTheme="minorEastAsia" w:hAnsi="Times" w:cs="Times"/>
                <w:sz w:val="24"/>
                <w:szCs w:val="24"/>
              </w:rPr>
            </w:pPr>
            <w:r>
              <w:rPr>
                <w:rFonts w:ascii="Times" w:eastAsiaTheme="minorEastAsia" w:hAnsi="Times" w:cs="Times"/>
                <w:sz w:val="16"/>
                <w:szCs w:val="16"/>
              </w:rPr>
              <w:t>(3)</w:t>
            </w:r>
          </w:p>
        </w:tc>
        <w:tc>
          <w:tcPr>
            <w:tcW w:w="551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Includes sales of Apple TV, Apple Watch, Beats</w:t>
            </w:r>
            <w:r>
              <w:rPr>
                <w:rFonts w:ascii="Times" w:eastAsiaTheme="minorEastAsia" w:hAnsi="Times" w:cs="Times"/>
                <w:sz w:val="20"/>
                <w:szCs w:val="20"/>
              </w:rPr>
              <w:t xml:space="preserve"> ® </w:t>
            </w:r>
            <w:r>
              <w:rPr>
                <w:rFonts w:ascii="Times" w:eastAsiaTheme="minorEastAsia" w:hAnsi="Times" w:cs="Times"/>
                <w:sz w:val="16"/>
                <w:szCs w:val="16"/>
              </w:rPr>
              <w:t>products, iPod and Apple-branded and third-party accessories.</w:t>
            </w:r>
          </w:p>
        </w:tc>
      </w:tr>
    </w:tbl>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23</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r>
        <w:rPr>
          <w:rFonts w:ascii="Times" w:eastAsiaTheme="minorEastAsia" w:hAnsi="Times" w:cs="Times"/>
          <w:b/>
          <w:bCs/>
          <w:sz w:val="18"/>
          <w:szCs w:val="18"/>
        </w:rPr>
        <w:t>Product Performance</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i/>
          <w:iCs/>
          <w:sz w:val="18"/>
          <w:szCs w:val="18"/>
        </w:rPr>
        <w:t>iPhone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iPhone net sales and unit sales information for the first quarter of 2017 and 2016 (dollars in millions and units in thousands):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lastRenderedPageBreak/>
              <w:t>Net sales</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54,378</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51,635</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5</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69</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68</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Unit sales</w:t>
            </w:r>
          </w:p>
        </w:tc>
        <w:tc>
          <w:tcPr>
            <w:tcW w:w="15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78,290</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74,779</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5</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iPhone net sales increased during the first quarter of 2017 compared to the same quarter in 2016, driven by strong growth in each of the geographic operating segments, with the exception of Greater China.</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iPad</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iPad net sales and unit sales information for the first quarter of 2017 and 2016 (dollars in millions and units in thousands):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6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5,533</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7,084</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(22</w:t>
            </w:r>
          </w:p>
        </w:tc>
        <w:tc>
          <w:tcPr>
            <w:tcW w:w="27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Unit sales</w:t>
            </w:r>
          </w:p>
        </w:tc>
        <w:tc>
          <w:tcPr>
            <w:tcW w:w="15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13,081</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16,122</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(19</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iPad net sales decreased in the first quarter of 2017 compared to the same quarter in 2016 due to lower iPad unit sales and lower average selling prices for iPad, both due in part to the introduction of the 12.9-inch iPad Pro in the first quarter of 2016.</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Mac</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Mac net sales and unit sales information for the first quarter of 2017 and 2016 (dollars in millions and units in thousands):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7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7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4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7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7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7,244</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6,746</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5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7</w:t>
            </w:r>
          </w:p>
        </w:tc>
        <w:tc>
          <w:tcPr>
            <w:tcW w:w="321"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Borders>
            <w:top w:val="none" w:sz="0" w:space="0" w:color="auto"/>
          </w:tblBorders>
          <w:tblCellMar>
            <w:top w:w="0" w:type="dxa"/>
            <w:bottom w:w="0" w:type="dxa"/>
          </w:tblCellMar>
        </w:tblPrEx>
        <w:tc>
          <w:tcPr>
            <w:tcW w:w="577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7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77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Unit sales</w:t>
            </w:r>
          </w:p>
        </w:tc>
        <w:tc>
          <w:tcPr>
            <w:tcW w:w="156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5,374</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5,312</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5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Mac net sales increased during the first quarter of 2017 compared to the same quarter in 2016 due primarily to a different mix of Macs, including the new MacBook Pro introduced in the first quarter of 2017.</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Services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Services net sales information for the first quarter of 2017 and 2016 (dollars in millions):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9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6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1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7,172</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9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6,056</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18</w:t>
            </w: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580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8</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3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year-over-year increase in Services net sales in the first quarter of 2017 compared to the same quarter in 2016 was due primarily to growth from the App Store and AppleCare sales, partially offset by the $548 million received from Samsung Electronics Co., Ltd. in the first quarter of 2016 related to patent infringement matters.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24</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Segment Operating Performance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manages its business primarily on a geographic basis. The Company’s reportable operating segments consist of the Americas, Europe, Greater China, Japan and Rest of Asia Pacific. The Americas segment includes both North and South America. The Europe segment includes European countries, as well as India, the Middle East and Africa. The Greater China segment includes China, Hong Kong and Taiwan. The Rest of Asia Pacific segment includes Australia and those Asian countries not included in the Company’s other reportable operating segments. Although the reportable operating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operating segments can be found in Part I, Item 1 of this Form 10-Q in the Notes to Condensed Consolidated Financial Statements, in Note 11, “Segment Information and Geographic Data.”</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Americas</w:t>
      </w:r>
    </w:p>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sz w:val="18"/>
          <w:szCs w:val="18"/>
        </w:rPr>
        <w:t>The following table presents Americas net sales information for the first quarter of 2017 and 2016 (dollars in millions):</w:t>
      </w:r>
      <w:r>
        <w:rPr>
          <w:rFonts w:ascii="Times" w:eastAsiaTheme="minorEastAsia" w:hAnsi="Times" w:cs="Times"/>
          <w:sz w:val="20"/>
          <w:szCs w:val="20"/>
        </w:rPr>
        <w:t xml:space="preserve"> </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31,968</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29,325</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9</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41</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39</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Americas net sales increased during the first quarter of 2017 compared to the same quarter in 2016 due primarily to higher net sales of iPhone, partially offset by lower net sales of iPad.</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Europe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Europe net sales information for the first quarter of 2017 and 2016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6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18,521</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17,932</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7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3</w:t>
            </w:r>
          </w:p>
        </w:tc>
        <w:tc>
          <w:tcPr>
            <w:tcW w:w="3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58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24</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5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24</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69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Europe net sales increased during the first quarter of 2017 compared to the same quarter in 2016 due primarily to higher net sales of iPhone, partially offset by the effect of weakness in foreign currencies relative to the U.S. dollar and a decrease in net sales of iPad.</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Greater China</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Greater China net sales information for the first quarter of 2017 and 2016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0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69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8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  </w:t>
            </w:r>
          </w:p>
        </w:tc>
        <w:tc>
          <w:tcPr>
            <w:tcW w:w="17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82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16,233</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0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18,373</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(12</w:t>
            </w:r>
          </w:p>
        </w:tc>
        <w:tc>
          <w:tcPr>
            <w:tcW w:w="3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582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21</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24</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3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lastRenderedPageBreak/>
        <w:t>Greater China net sales decreased during the first quarter of 2017 compared to the same quarter in 2016 due primarily to lower net sales of iPhone and the effect of weakness in foreign currencies relative to the U.S. dollar.</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25</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Japan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Japan net sales information for the first quarter of 2017 and 2016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4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8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4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37" w:type="dxa"/>
            <w:tcBorders>
              <w:top w:val="single" w:sz="6" w:space="0" w:color="auto"/>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3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  </w:t>
            </w:r>
          </w:p>
        </w:tc>
        <w:tc>
          <w:tcPr>
            <w:tcW w:w="17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2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4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5,766</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4,794</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20</w:t>
            </w:r>
          </w:p>
        </w:tc>
        <w:tc>
          <w:tcPr>
            <w:tcW w:w="3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574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2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Japan net sales increased during the first quarter of 2017 compared to the same quarter in 2016 due primarily to higher net sales of iPhone and Services, and the effect of strength in the Japanese yen relative to the U.S. dollar.</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Rest of Asia Pacific</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 presents Rest of Asia Pacific net sales information for the first quarter of 2017 and 2016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41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1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80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1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3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3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  </w:t>
            </w:r>
          </w:p>
        </w:tc>
        <w:tc>
          <w:tcPr>
            <w:tcW w:w="17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8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5,863</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8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5,448</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4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8</w:t>
            </w:r>
          </w:p>
        </w:tc>
        <w:tc>
          <w:tcPr>
            <w:tcW w:w="4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571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5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5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7</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5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5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Rest of Asia Pacific net sales increased during the first quarter of 2017 compared to the same quarter in 2016 due primarily to higher net sales of iPhone and the effect of strength in foreign currencies relative to the U.S. dollar.</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Gross Margin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Gross margin for the first quarter of 2017 and 2016 was as follows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8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2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Net sales</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78,351</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75,872</w:t>
            </w:r>
          </w:p>
        </w:tc>
        <w:tc>
          <w:tcPr>
            <w:tcW w:w="24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Cost of sales</w:t>
            </w:r>
          </w:p>
        </w:tc>
        <w:tc>
          <w:tcPr>
            <w:tcW w:w="158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48,175</w:t>
            </w:r>
          </w:p>
        </w:tc>
        <w:tc>
          <w:tcPr>
            <w:tcW w:w="2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3"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45,449</w:t>
            </w:r>
          </w:p>
        </w:tc>
        <w:tc>
          <w:tcPr>
            <w:tcW w:w="2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Gross margin</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30,176</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4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30,423</w:t>
            </w:r>
          </w:p>
        </w:tc>
        <w:tc>
          <w:tcPr>
            <w:tcW w:w="24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767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Gross margin percentage</w:t>
            </w:r>
          </w:p>
        </w:tc>
        <w:tc>
          <w:tcPr>
            <w:tcW w:w="15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38.5</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40.1</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4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Gross margin decreased during the first quarter of 2017 compared to the same quarter in 2016 due primarily to higher product cost structures and the effect of weakness in foreign currencies relative to the U.S. dollar, partially offset by a favorable mix of products and services.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 xml:space="preserve">The Company anticipates gross margin during the second quarter of 2017 to be between 38% and 39%. The foregoing statement regarding the Company’s expected gross margin percentage in the second quarter of 2017 is forward-looking and </w:t>
      </w:r>
      <w:r>
        <w:rPr>
          <w:rFonts w:ascii="Times" w:eastAsiaTheme="minorEastAsia" w:hAnsi="Times" w:cs="Times"/>
          <w:sz w:val="18"/>
          <w:szCs w:val="18"/>
        </w:rPr>
        <w:lastRenderedPageBreak/>
        <w:t>could differ from actual results. The Company’s future gross margins can be impacted by multiple factors including, but not limited to, those set forth in Part II, Item 1A of this Form 10-Q under the heading “Risk Factors” and those described in this paragraph. In general, the Company believes gross margins will remain under downward pressure due to a variety of factors, including continued industry-wide global product pricing pressures, increased competition, compressed product life cycles, product transitions, potential increases in the cost of components, and potential strengthening of the U.S. dollar, as well as potential increases in the costs of outside manufacturing services and a potential shift in the Company’s sales mix towards products with lower gross margins. In response to competitive pressures, the Company expects it will continue to take product pricing actions, which would adversely affect gross margins. Gross margins could also be affected by the Company’s ability to manage product quality and warranty costs effectively and to stimulate demand for certain of its products. Due to the Company’s significant international operations, its financial condition and operating results, including gross margins, could be significantly affected by fluctuations in exchange rates.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26</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Operating Expenses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Operating expenses for the first quarter of 2017 and 2016 were as follows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Research and development</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2,871</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2,404</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Selling, general and administrative</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3,946</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3,848</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Total operating expenses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6,817</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6,252</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757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Percentage of total net sales</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8</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Research and Development</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growth in R&amp;D expense during the first quarter of 2017 compared to the same quarter in 2016 was driven primarily by an increase in headcount and related expenses, and material costs to support expanded R&amp;D activities. The Company continues to believe that focused investments in R&amp;D are critical to its future growth and competitive position in the marketplace, and to the development of new and updated products that are central to the Company’s core business strategy.</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Selling, General and Administrative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growth in selling, general and administrative expense during the first quarter of 2017 compared to the same quarter in 2016 was driven primarily by an increase in headcount and related expenses and higher variable selling costs, partially offset by lower advertising costs.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Other Income/(Expense), Net</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Other income/(expense), net for the first quarter of 2017 and 2016 was as follows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724"/>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7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4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1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1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572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30"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4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Change</w:t>
            </w:r>
          </w:p>
        </w:tc>
        <w:tc>
          <w:tcPr>
            <w:tcW w:w="15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Interest and dividend income</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78"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1,224</w:t>
            </w:r>
          </w:p>
        </w:tc>
        <w:tc>
          <w:tcPr>
            <w:tcW w:w="276"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60"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941</w:t>
            </w:r>
          </w:p>
        </w:tc>
        <w:tc>
          <w:tcPr>
            <w:tcW w:w="343"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Interest expense</w:t>
            </w:r>
          </w:p>
        </w:tc>
        <w:tc>
          <w:tcPr>
            <w:tcW w:w="155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(525</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(276</w:t>
            </w:r>
          </w:p>
        </w:tc>
        <w:tc>
          <w:tcPr>
            <w:tcW w:w="34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Other income/(expense), net</w:t>
            </w:r>
          </w:p>
        </w:tc>
        <w:tc>
          <w:tcPr>
            <w:tcW w:w="1554"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122</w:t>
            </w:r>
          </w:p>
        </w:tc>
        <w:tc>
          <w:tcPr>
            <w:tcW w:w="27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(263</w:t>
            </w:r>
          </w:p>
        </w:tc>
        <w:tc>
          <w:tcPr>
            <w:tcW w:w="3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5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57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lastRenderedPageBreak/>
              <w:t>Total other income/(expense), net</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78"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821</w:t>
            </w:r>
          </w:p>
        </w:tc>
        <w:tc>
          <w:tcPr>
            <w:tcW w:w="276"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43"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60"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402</w:t>
            </w:r>
          </w:p>
        </w:tc>
        <w:tc>
          <w:tcPr>
            <w:tcW w:w="343" w:type="dxa"/>
            <w:tcBorders>
              <w:top w:val="single" w:sz="8" w:space="0" w:color="BFBFBF"/>
              <w:left w:val="single" w:sz="8" w:space="0" w:color="BFBFBF"/>
              <w:bottom w:val="single" w:sz="18"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4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8"/>
                <w:szCs w:val="18"/>
              </w:rPr>
              <w:t>104</w:t>
            </w:r>
          </w:p>
        </w:tc>
        <w:tc>
          <w:tcPr>
            <w:tcW w:w="2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increase in other income/(expense), net during the first quarter of 2017 compared to the same quarter in 2016 was due primarily to higher interest income and foreign exchange gains, partially offset by higher interest expense on debt. The weighted-average interest rate earned by the Company on its cash, cash equivalents and marketable securities was 1.87% and 1.65% in the first quarter of 2017 and 2016, respectively.</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Provision for Income Taxes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Provision for income taxes and effective tax rates for the first quarter of 2017 and 2016 were as follows (dollars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9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8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8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878"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57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Provision for income taxes</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6,289</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2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6,212</w:t>
            </w:r>
          </w:p>
        </w:tc>
        <w:tc>
          <w:tcPr>
            <w:tcW w:w="27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75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Effective tax rate</w:t>
            </w:r>
          </w:p>
        </w:tc>
        <w:tc>
          <w:tcPr>
            <w:tcW w:w="160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26.0</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25.3</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Company’s effective tax rates during the first quarter of 2017 and 2016 differ from the statutory federal income tax rate of 35% due primarily to certain undistributed foreign earnings, a substantial portion of which was generated by subsidiaries organized in Ireland, for which no U.S. taxes are provided when such earnings are intended to be indefinitely reinvested outside the U.S. The higher year-over-year effective tax rate during the first quarter of 2017 was due primarily to the retroactive reinstatement of the U.S. federal R&amp;D tax credit during the first quarter of 2016.</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27</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is subject to audits by federal, state, local and foreign tax authorities. Management believes that adequate provisions have been made for any adjustments that may result from tax examinations. However, the outcome of tax audits cannot be predicted with certainty. If any issues addressed in the Company’s tax audits are resolved in a manner not consistent with management’s expectations, the Company could be required to adjust its provision for income taxes in the period such resolution occurs.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While the European Commission announced a recovery amount of up to €13 billion ,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 The Company believes that any incremental Irish corporate income taxes potentially due related to the State Aid Decision would be creditable against U.S. taxes.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Recent Accounting Pronouncements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i/>
          <w:iCs/>
          <w:sz w:val="18"/>
          <w:szCs w:val="18"/>
        </w:rPr>
        <w:t>Restricted Cash</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November 2016, the Financial Accounting Standards Board (“FASB”) issued Accounting Standards Update (“ASU”) No. 2016-18, Statement of Cash Flows (Topic 230): Restricted Cash (“ASU 2016-18”), which enhances and clarifies the guidance on the classification and presentation of restricted cash in the statement of cash flows. The Company will adopt ASU 2016-18 in its first quarter of 2019 utilizing the retrospective adoption method. Currently, the Company's restricted cash balance is not significant.</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Income Taxes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October 2016, the FASB issued ASU No. 2016-16, Income Taxes (Topic 740): Intra-Entity Transfers of Assets Other Than Inventory (“ASU 2016-16”), which requires the recognition of the income tax consequences of an intra-entity transfer of an asset, other than inventory, when the transfer occurs. The Company will adopt ASU 2016-16 in its first quarter of 2019 utilizing the modified retrospective adoption method. Currently, the Company anticipates recording up to $9 billion of net deferred tax assets on its Consolidated Balance Sheets. However, the ultimate impact of adopting ASU 2016-16 will depend on the balance of intellectual property transferred between its subsidiaries as of the adoption date. The Company will recognize incremental deferred income tax expense thereafter as these deferred tax assets are utilized.</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lastRenderedPageBreak/>
        <w:t>Stock Compensation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March 2016, the FASB issued ASU No. 2016-09, Compensation – Stock Compensation (Topic 718): Improvements to Employee Share-Based Payment Accounting (“ASU 2016-09”), which modifies certain aspects of the accounting for share-based payment transactions, including income taxes, classification of awards, and classification in the statement of cash flows. The Company will adopt ASU 2016-09 in its first quarter of 2018. Currently, excess tax benefits or deficiencies from the Company's equity awards are recorded as additional paid-in capital in its Consolidated Balance Sheets. Upon adoption, the Company will record any excess tax benefits or deficiencies from its equity awards in its Consolidated Statements of Operations in the reporting periods in which vesting occurs. As a result, subsequent to adoption the Company's income tax expense and associated effective tax rate will be impacted by fluctuations in stock price between the grant dates and vesting dates of equity awards.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Leases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February 2016, the FASB issued ASU No. 2016-02, Leases (Topic 842) (“ASU 2016-02”), which modifies lease accounting for lessees to increase transparency and comparability by recording lease assets and liabilities for operating leases and disclosing key information about leasing arrangements. ASU 2016-02 will be effective for the Company beginning in its first quarter of 2020, and early adoption is permitted. The Company will use a modified retrospective adoption approach. While the Company is currently evaluating the timing and impact of adopting ASU 2016-02, currently the Company anticipates recording lease assets and liabilities in excess of $7.5 billion on its Consolidated Balance Sheets, with no material impact to its Consolidated Statements of Operations. However, the ultimate impact of adopting ASU 2016-02 will depend on the Company's lease portfolio as of the adoption date.</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Financial Instruments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January 2016, the FASB issued ASU No. 2016-01, Financial Instruments – Overall (Subtopic 825-10): Recognition and Measurement of Financial Assets and Financial Liabilities (“ASU 2016-01”), which updates certain aspects of recognition, measurement, presentation and disclosure of financial instruments. The Company will adopt ASU 2016-01 in its first quarter of 2019 utilizing the modified retrospective adoption method. Based on the composition of the Company's investment portfolio, the adoption of ASU 2016-01 is not expected to have a material impact on its consolidated financial statements.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28</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In June 2016, the FASB issued ASU No. 2016-13, Financial Instruments – Credit Losses (Topic 326): Measurement of Credit Losses on Financial Instruments (“ASU 2016-13”), which modifies the measurement of expected credit losses of certain financial instruments. The Company will adopt ASU 2016-13 in its first quarter of 2021 utilizing the modified retrospective adoption method. Based on the composition of the Company's investment portfolio, current market conditions, and historical credit loss activity, the adoption of ASU 2016-13 is not expected to have a material impact on its consolidated financial statements.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Revenue Recognition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May 2014, the FASB issued ASU No. 2014-09, Revenue from Contracts with Customers (Topic 606) (“ASU 2014-09”), which amends the existing accounting standards for revenue recognition. ASU 2014-09 is based on principles that govern the recognition of revenue at an amount an entity expects to be entitled when products are transferred to customers.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Subsequently, the FASB has issued the following standards related to ASU 2014-09: ASU No. 2016-08, Revenue from Contracts with Customers (Topic 606): Principal versus Agent Considerations (“ASU 2016-08”); ASU No. 2016-10, Revenue from Contracts with Customers (Topic 606): Identifying Performance Obligations and Licensing (“ASU 2016-10”); ASU No. 2016-12, Revenue from Contracts with Customers (Topic 606): Narrow-Scope Improvements and Practical Expedients (“ASU 2016-12”); and ASU No. 2016-20, Technical Corrections and Improvements to Topic 606, Revenue from Contracts with Customers (“ASU 2016-20”). The Company must adopt ASU 2016-08, ASU 2016-10, ASU 2016-12 and ASU 2016-20 with ASU 2014-09 (collectively, the “new revenue standards”).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new revenue standards may be applied retrospectively to each prior period presented or retrospectively with the cumulative effect recognized as of the date of adoption. The Company currently expects to adopt the new revenue standards in its first quarter of 2018 utilizing the full retrospective adoption method. The new revenue standards are not expected to have a material impact on the amount and timing of revenue recognized in the Company's consolidated financial statements.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Liquidity and Capital Resources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following tables present selected financial information and statistics as of December 31, 2016 and September 24, 2016 and for the first three months of 2017 and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5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8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4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September 24,</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7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92"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Cash, cash equivalents and marketable securities</w:t>
            </w:r>
          </w:p>
        </w:tc>
        <w:tc>
          <w:tcPr>
            <w:tcW w:w="2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246,090</w:t>
            </w: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237,585</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Property, plant and equipment, net</w:t>
            </w:r>
          </w:p>
        </w:tc>
        <w:tc>
          <w:tcPr>
            <w:tcW w:w="25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26,510</w:t>
            </w:r>
          </w:p>
        </w:tc>
        <w:tc>
          <w:tcPr>
            <w:tcW w:w="1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27,010</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Commercial paper</w:t>
            </w:r>
          </w:p>
        </w:tc>
        <w:tc>
          <w:tcPr>
            <w:tcW w:w="2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10,493</w:t>
            </w: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8,105</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lastRenderedPageBreak/>
              <w:t>Total term debt</w:t>
            </w:r>
          </w:p>
        </w:tc>
        <w:tc>
          <w:tcPr>
            <w:tcW w:w="25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77,056</w:t>
            </w:r>
          </w:p>
        </w:tc>
        <w:tc>
          <w:tcPr>
            <w:tcW w:w="13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6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78,927</w:t>
            </w:r>
          </w:p>
        </w:tc>
        <w:tc>
          <w:tcPr>
            <w:tcW w:w="1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CellMar>
            <w:top w:w="0" w:type="dxa"/>
            <w:bottom w:w="0" w:type="dxa"/>
          </w:tblCellMar>
        </w:tblPrEx>
        <w:tc>
          <w:tcPr>
            <w:tcW w:w="779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Working capital</w:t>
            </w:r>
          </w:p>
        </w:tc>
        <w:tc>
          <w:tcPr>
            <w:tcW w:w="25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19,202</w:t>
            </w:r>
          </w:p>
        </w:tc>
        <w:tc>
          <w:tcPr>
            <w:tcW w:w="13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8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6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27,863</w:t>
            </w:r>
          </w:p>
        </w:tc>
        <w:tc>
          <w:tcPr>
            <w:tcW w:w="1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810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5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774"/>
              <w:jc w:val="center"/>
              <w:rPr>
                <w:rFonts w:ascii="Times" w:eastAsiaTheme="minorEastAsia" w:hAnsi="Times" w:cs="Times"/>
                <w:sz w:val="24"/>
                <w:szCs w:val="24"/>
              </w:rPr>
            </w:pPr>
            <w:r>
              <w:rPr>
                <w:rFonts w:ascii="Times" w:eastAsiaTheme="minorEastAsia" w:hAnsi="Times" w:cs="Times"/>
                <w:b/>
                <w:bCs/>
                <w:sz w:val="16"/>
                <w:szCs w:val="16"/>
              </w:rPr>
              <w:t>Three Months Ended</w:t>
            </w: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373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7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31,</w:t>
            </w:r>
            <w:r>
              <w:rPr>
                <w:rFonts w:ascii="MS Mincho" w:eastAsia="MS Mincho" w:hAnsi="MS Mincho" w:cs="MS Mincho" w:hint="eastAsia"/>
                <w:b/>
                <w:bCs/>
                <w:sz w:val="16"/>
                <w:szCs w:val="16"/>
              </w:rPr>
              <w:t> </w:t>
            </w:r>
            <w:r>
              <w:rPr>
                <w:rFonts w:ascii="Times" w:eastAsiaTheme="minorEastAsia" w:hAnsi="Times" w:cs="Times"/>
                <w:b/>
                <w:bCs/>
                <w:sz w:val="16"/>
                <w:szCs w:val="16"/>
              </w:rPr>
              <w:t>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December 26,</w:t>
            </w:r>
            <w:r>
              <w:rPr>
                <w:rFonts w:ascii="MS Mincho" w:eastAsia="MS Mincho" w:hAnsi="MS Mincho" w:cs="MS Mincho" w:hint="eastAsia"/>
                <w:b/>
                <w:bCs/>
                <w:sz w:val="16"/>
                <w:szCs w:val="16"/>
              </w:rPr>
              <w:t> </w:t>
            </w:r>
            <w:r>
              <w:rPr>
                <w:rFonts w:ascii="Times" w:eastAsiaTheme="minorEastAsia" w:hAnsi="Times" w:cs="Times"/>
                <w:b/>
                <w:bCs/>
                <w:sz w:val="16"/>
                <w:szCs w:val="16"/>
              </w:rPr>
              <w:t>2015</w:t>
            </w:r>
          </w:p>
        </w:tc>
        <w:tc>
          <w:tcPr>
            <w:tcW w:w="17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77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8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Cash generated by operating activities</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27,056</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27,463</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77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Cash used in investing activities</w:t>
            </w:r>
          </w:p>
        </w:tc>
        <w:tc>
          <w:tcPr>
            <w:tcW w:w="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(19,122</w:t>
            </w:r>
          </w:p>
        </w:tc>
        <w:tc>
          <w:tcPr>
            <w:tcW w:w="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(20,450</w:t>
            </w:r>
          </w:p>
        </w:tc>
        <w:tc>
          <w:tcPr>
            <w:tcW w:w="20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r w:rsidR="00647C25">
        <w:tblPrEx>
          <w:tblCellMar>
            <w:top w:w="0" w:type="dxa"/>
            <w:bottom w:w="0" w:type="dxa"/>
          </w:tblCellMar>
        </w:tblPrEx>
        <w:tc>
          <w:tcPr>
            <w:tcW w:w="778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Cash used in financing activities</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(12,047</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35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(11,444</w:t>
            </w:r>
          </w:p>
        </w:tc>
        <w:tc>
          <w:tcPr>
            <w:tcW w:w="20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r>
              <w:rPr>
                <w:rFonts w:ascii="Times" w:eastAsiaTheme="minorEastAsia" w:hAnsi="Times" w:cs="Times"/>
                <w:sz w:val="18"/>
                <w:szCs w:val="18"/>
              </w:rPr>
              <w:t>)</w:t>
            </w: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believes its existing balances of cash, cash equivalents and marketable securities will be sufficient to satisfy its working capital needs, capital asset purchases, outstanding commitments and other liquidity requirements associated with its existing operations over the next 12 months. The Company currently anticipates the cash used for future dividends, the share repurchase program and debt repayments will come from its current domestic cash, cash generated from on-going U.S. operating activities and from borrowings.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As of December 31, 2016 and September 24, 2016 , the Company’s cash, cash equivalents and marketable securities held by foreign subsidiaries were $230.2 billion and $216.0 billion, respectively, and are generally based in U.S. dollar-denominated holdings. Amounts held by foreign subsidiaries are generally subject to U.S. income taxation on repatriation to the U.S. In connection with the State Aid Decision, the European Commission announced a recovery amount of up to €13 billion ,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Company’s marketable securities investment portfolio is invested primarily in highly-rated securities, and its investment policy generally limits the amount of credit exposure to any one issuer. The policy requires investments generally to be investment grade with the objective of minimizing the potential risk of principal loss.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29</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During the three months ended December 31, 2016 , cash generated from operating activities of $27.1 billion was a result of $17.9 billion of net income, non-cash adjustments to net income of $5.4 billion and an increase in the net change in operating assets and liabilities of $3.7 billion . Cash used in investing activities of $19.1 billion during the three months ended December 31, 2016 consisted primarily of cash used for purchases of marketable securities, net of sales and maturities, of $15.6 billion and cash used to acquire property, plant and equipment of $3.3 billion . Cash used in financing activities of $12.0 billion during the three months ended December 31, 2016 consisted primarily of cash used to repurchase common stock of $10.9 billion and cash used to pay dividends and dividend equivalents of $3.1 billion , partially offset by a net increase in commercial paper of $2.4 billion.</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During the three months ended December 26, 2015 , cash generated from operating activities of $27.5 billion was a result of $18.4 billion of net income, non-cash adjustments to net income of $5.7 billion and an increase in the net change in operating assets and liabilities of $3.4 billion . Cash used in investing activities of $20.5 billion during the three months ended December 26, 2015 consisted primarily of cash used for purchases of marketable securities, net of sales and maturities, of $16.1 billion and cash used to acquire property, plant and equipment of $3.6 billion . Cash used in financing activities of $11.4 billion during the three months ended December 26, 2015 consisted primarily of cash used to repurchase common stock of $6.9 billion , and cash used to pay dividends and dividend equivalents of $3.0 billion .</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Capital Assets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capital expenditures were $2.1 billion during the first quarter of 2017. The Company anticipates utilizing approximately $16.0 billion for capital expenditures during 2017, which includes product tooling and manufacturing process equipment; data centers; corporate facilities and infrastructure, including information systems hardware, software and enhancements; and retail store facilities.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Debt</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issues unsecured short-term promissory notes (“Commercial Paper”) pursuant to a commercial paper program. The Company uses the net proceeds from the commercial paper program for general corporate purposes, including dividends and share repurchases. As of December 31, 2016 , the Company had $10.5 billion of Commercial Paper outstanding, with a weighted-average interest rate of 0.61% and maturities generally less than nine months .</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As of December 31, 2016 , the Company had outstanding floating- and fixed-rate notes with varying maturities for an aggregate principal amount of $77.4 billion (collectively the “Notes”). The Company has entered, and in the future may enter, into interest rate swaps to manage interest rate risk on the Notes. In addition, the Company has entered, and in the future may enter, into currency swaps to manage foreign currency risk on the Notes.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 xml:space="preserve">Further information regarding the Company’s debt issuances and related hedging activity can be found in Part I, Item 1 of this Form 10-Q in the Notes to Condensed Consolidated Financial Statements, in Note 2, “Financial Instruments” and Note </w:t>
      </w:r>
      <w:r>
        <w:rPr>
          <w:rFonts w:ascii="Times" w:eastAsiaTheme="minorEastAsia" w:hAnsi="Times" w:cs="Times"/>
          <w:sz w:val="18"/>
          <w:szCs w:val="18"/>
        </w:rPr>
        <w:lastRenderedPageBreak/>
        <w:t>6, “Debt.”</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Capital Return Program</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In April 2016, the Company’s Board of Directors increased the share repurchase program authorization from $140 billion to $175 billion of the Company’s common stock, increasing the expected total size of the capital return program from $200 billion to $250 billion. Additionally in April 2016, the Company announced that the Board of Directors raised the rate of the Company's quarterly cash dividend by 10% from $0.52 to $0.57 per share, beginning with the dividend paid during the third quarter of 2016. The Company intends to increase its dividend on an annual basis subject to declaration by the Board of Directors.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As of December 31, 2016 , $144 billion of the share repurchase program has been utilized. The Company’s share repurchase program does not obligate it to acquire any specific number of shares. Under the program, shares may be repurchased in privately negotiated or open market transactions, including under plans complying with Rule 10b5-1 under the Exchange Act.</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30</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table presents the Company’s dividends, dividend equivalents, share repurchases and net share settlement activity from the start of the capital return program in August 2012 through December 31, 2016 (in millions):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6572"/>
        <w:gridCol w:w="128"/>
        <w:gridCol w:w="128"/>
        <w:gridCol w:w="128"/>
        <w:gridCol w:w="128"/>
        <w:gridCol w:w="128"/>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40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6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43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7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4"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5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1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2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5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1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 </w:t>
            </w:r>
          </w:p>
        </w:tc>
        <w:tc>
          <w:tcPr>
            <w:tcW w:w="194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Dividends and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Dividend Equivalents Paid</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15"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Accelerated Share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Repurchases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97"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Open Market</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Share Repurchases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4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Taxes Related to Settlement </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of Equity Awards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Total</w:t>
            </w: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145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Q1 2017</w:t>
            </w:r>
          </w:p>
        </w:tc>
        <w:tc>
          <w:tcPr>
            <w:tcW w:w="40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6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3,130</w:t>
            </w: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3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7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6,000</w:t>
            </w:r>
          </w:p>
        </w:tc>
        <w:tc>
          <w:tcPr>
            <w:tcW w:w="30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1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5,000</w:t>
            </w:r>
          </w:p>
        </w:tc>
        <w:tc>
          <w:tcPr>
            <w:tcW w:w="12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2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629</w:t>
            </w:r>
          </w:p>
        </w:tc>
        <w:tc>
          <w:tcPr>
            <w:tcW w:w="24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1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14,759</w:t>
            </w:r>
          </w:p>
        </w:tc>
        <w:tc>
          <w:tcPr>
            <w:tcW w:w="92" w:type="dxa"/>
            <w:tcBorders>
              <w:top w:val="single" w:sz="6" w:space="0" w:color="auto"/>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2016</w:t>
            </w:r>
          </w:p>
        </w:tc>
        <w:tc>
          <w:tcPr>
            <w:tcW w:w="16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12,150</w:t>
            </w:r>
          </w:p>
        </w:tc>
        <w:tc>
          <w:tcPr>
            <w:tcW w:w="27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12,000</w:t>
            </w:r>
          </w:p>
        </w:tc>
        <w:tc>
          <w:tcPr>
            <w:tcW w:w="30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17,000</w:t>
            </w:r>
          </w:p>
        </w:tc>
        <w:tc>
          <w:tcPr>
            <w:tcW w:w="12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1,570</w:t>
            </w:r>
          </w:p>
        </w:tc>
        <w:tc>
          <w:tcPr>
            <w:tcW w:w="24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42,720</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2015</w:t>
            </w:r>
          </w:p>
        </w:tc>
        <w:tc>
          <w:tcPr>
            <w:tcW w:w="16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11,561</w:t>
            </w: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6,000</w:t>
            </w:r>
          </w:p>
        </w:tc>
        <w:tc>
          <w:tcPr>
            <w:tcW w:w="30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30,026</w:t>
            </w:r>
          </w:p>
        </w:tc>
        <w:tc>
          <w:tcPr>
            <w:tcW w:w="12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1,499</w:t>
            </w:r>
          </w:p>
        </w:tc>
        <w:tc>
          <w:tcPr>
            <w:tcW w:w="24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49,086</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2014</w:t>
            </w:r>
          </w:p>
        </w:tc>
        <w:tc>
          <w:tcPr>
            <w:tcW w:w="167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11,126</w:t>
            </w:r>
          </w:p>
        </w:tc>
        <w:tc>
          <w:tcPr>
            <w:tcW w:w="27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1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21,000</w:t>
            </w:r>
          </w:p>
        </w:tc>
        <w:tc>
          <w:tcPr>
            <w:tcW w:w="30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24,000</w:t>
            </w:r>
          </w:p>
        </w:tc>
        <w:tc>
          <w:tcPr>
            <w:tcW w:w="12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1,158</w:t>
            </w:r>
          </w:p>
        </w:tc>
        <w:tc>
          <w:tcPr>
            <w:tcW w:w="248"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57,284</w:t>
            </w: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2013</w:t>
            </w:r>
          </w:p>
        </w:tc>
        <w:tc>
          <w:tcPr>
            <w:tcW w:w="167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10,564</w:t>
            </w:r>
          </w:p>
        </w:tc>
        <w:tc>
          <w:tcPr>
            <w:tcW w:w="27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1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13,950</w:t>
            </w:r>
          </w:p>
        </w:tc>
        <w:tc>
          <w:tcPr>
            <w:tcW w:w="30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9,000</w:t>
            </w:r>
          </w:p>
        </w:tc>
        <w:tc>
          <w:tcPr>
            <w:tcW w:w="12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1,082</w:t>
            </w:r>
          </w:p>
        </w:tc>
        <w:tc>
          <w:tcPr>
            <w:tcW w:w="248"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34,596</w:t>
            </w: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2012</w:t>
            </w:r>
          </w:p>
        </w:tc>
        <w:tc>
          <w:tcPr>
            <w:tcW w:w="167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2,488</w:t>
            </w:r>
          </w:p>
        </w:tc>
        <w:tc>
          <w:tcPr>
            <w:tcW w:w="27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71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w:t>
            </w:r>
          </w:p>
        </w:tc>
        <w:tc>
          <w:tcPr>
            <w:tcW w:w="30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469"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w:t>
            </w:r>
          </w:p>
        </w:tc>
        <w:tc>
          <w:tcPr>
            <w:tcW w:w="12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60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56</w:t>
            </w:r>
          </w:p>
        </w:tc>
        <w:tc>
          <w:tcPr>
            <w:tcW w:w="248"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364"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2,544</w:t>
            </w: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92"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188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8"/>
                <w:szCs w:val="18"/>
              </w:rPr>
              <w:t>Total</w:t>
            </w:r>
          </w:p>
        </w:tc>
        <w:tc>
          <w:tcPr>
            <w:tcW w:w="40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6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51,019</w:t>
            </w:r>
          </w:p>
        </w:tc>
        <w:tc>
          <w:tcPr>
            <w:tcW w:w="274"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436"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75"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58,950</w:t>
            </w:r>
          </w:p>
        </w:tc>
        <w:tc>
          <w:tcPr>
            <w:tcW w:w="304" w:type="dxa"/>
            <w:tcBorders>
              <w:top w:val="single" w:sz="6" w:space="0" w:color="auto"/>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56"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13"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85,026</w:t>
            </w:r>
          </w:p>
        </w:tc>
        <w:tc>
          <w:tcPr>
            <w:tcW w:w="128"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2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5,994</w:t>
            </w:r>
          </w:p>
        </w:tc>
        <w:tc>
          <w:tcPr>
            <w:tcW w:w="248"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w:t>
            </w:r>
          </w:p>
        </w:tc>
        <w:tc>
          <w:tcPr>
            <w:tcW w:w="121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8"/>
                <w:szCs w:val="18"/>
              </w:rPr>
              <w:t>200,989</w:t>
            </w:r>
          </w:p>
        </w:tc>
        <w:tc>
          <w:tcPr>
            <w:tcW w:w="9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r>
    </w:tbl>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expects to execute its capital return program by the end of March 2018 by paying dividends and dividend equivalents, repurchasing shares and remitting withheld taxes related to net share settlement of restricted stock units. The Company plans to continue to access the domestic and international debt markets to assist in funding its capital return program.</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Off-Balance Sheet Arrangements and Contractual Obligations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has not entered into any transactions with unconsolidated entities whereby the Company has financial guarantees, subordinated retained interests, derivative instruments, or other contingent arrangements that expose the Company to material continuing risks, contingent liabilities, or any other obligation under a variable interest in an unconsolidated entity that provides financing, liquidity, market risk, or credit risk support to the Company, or engages in leasing, hedging, or R&amp;D services with the Company.</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Operating Leases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As of December 31, 2016 , the Company’s total future minimum lease payments under noncancelable operating leases were $7.5 billion . The Company’s retail store and other facility leases are typically for terms not exceeding 10 years and generally contain multi-year renewal options.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t>Manufacturing Purchase Obligations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days . The Company also obtains individual components for its products from a wide variety of individual suppliers. Consistent with industry practice, the Company acquires components through a combination of purchase orders, supplier contracts, and open orders based on projected demand information. As of December 31, 2016 , the Company had manufacturing purchase obligations of $24.0 billion.</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i/>
          <w:iCs/>
          <w:sz w:val="18"/>
          <w:szCs w:val="18"/>
        </w:rPr>
        <w:lastRenderedPageBreak/>
        <w:t>Other Purchase Obligations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other purchase obligations were comprised of commitments to acquire capital assets, including product tooling and manufacturing process equipment, and commitments related to advertising, licensing, R&amp;D, internet and telecommunications services, energy and other obligations. As of December 31, 2016 , the Company had other purchase obligations of $6.7 billion.</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Company’s other non-current liabilities in the Condensed Consolidated Balance Sheets consist primarily of deferred tax liabilities, gross unrecognized tax benefits and the related gross interest and penalties. As of December 31, 2016 , the Company had non-current deferred tax liabilities of $26.9 billion , gross unrecognized tax benefits of $8.5 billion and an additional $1.2 billion for gross interest and penalties.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Indemnification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generally does not indemnify end-users of its operating system and application software against legal claims that the software infringes third-party intellectual property rights. Other agreements entered into by the Company sometimes include indemnification provisions under which the Company could be subject to costs and/or damages in the event of an infringement claim against the Company or an indemnified third-party. In the opinion of management, there was not at least a reasonable possibility the Company may have incurred a material loss with respect to indemnification of end-users of its operating system or application software for infringement of third-party intellectual property rights.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31</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However, the Company maintains directors and officers liability insurance coverage to reduce its exposure to such obligations.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Critical Accounting Policies and Estimates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in its condensed consolidated financial statements and accompanying notes.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Note 1, “Summary of Significant Accounting Policies” in Part I, Item 1 of this Form 10-Q and in the Notes to Consolidated Financial Statements in Part II, Item 8 of the 2016 Form 10-K, and “Critical Accounting Policies and Estimates” in Part I, Item 7 of the 2016 Form 10-K describe the significant accounting policies and methods used in the preparation of the Company’s condensed consolidated financial statements. There have been no material changes to the Company’s critical accounting policies and estimates since the 2016 Form 10-K.</w:t>
      </w:r>
    </w:p>
    <w:tbl>
      <w:tblPr>
        <w:tblW w:w="0" w:type="auto"/>
        <w:tblBorders>
          <w:top w:val="nil"/>
          <w:left w:val="nil"/>
          <w:right w:val="nil"/>
        </w:tblBorders>
        <w:tblLayout w:type="fixed"/>
        <w:tblLook w:val="0000" w:firstRow="0" w:lastRow="0" w:firstColumn="0" w:lastColumn="0" w:noHBand="0" w:noVBand="0"/>
      </w:tblPr>
      <w:tblGrid>
        <w:gridCol w:w="920"/>
        <w:gridCol w:w="5898"/>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589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3.</w:t>
            </w:r>
          </w:p>
        </w:tc>
        <w:tc>
          <w:tcPr>
            <w:tcW w:w="589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Quantitative and Qualitative Disclosures About Market Risk</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sz w:val="18"/>
          <w:szCs w:val="18"/>
        </w:rPr>
        <w:t>There have been no material changes to the Company’s market risk during the first quarter of 2017 . For a discussion of the Company’s exposure to market risk, refer to the Company’s market risk disclosures set forth in Part II, Item 7A, “Quantitative and Qualitative Disclosures About Market Risk” of the 2016 Form 10-K.</w:t>
      </w:r>
    </w:p>
    <w:tbl>
      <w:tblPr>
        <w:tblW w:w="0" w:type="auto"/>
        <w:tblBorders>
          <w:top w:val="nil"/>
          <w:left w:val="nil"/>
          <w:right w:val="nil"/>
        </w:tblBorders>
        <w:tblLayout w:type="fixed"/>
        <w:tblLook w:val="0000" w:firstRow="0" w:lastRow="0" w:firstColumn="0" w:lastColumn="0" w:noHBand="0" w:noVBand="0"/>
      </w:tblPr>
      <w:tblGrid>
        <w:gridCol w:w="920"/>
        <w:gridCol w:w="2351"/>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4.</w:t>
            </w:r>
          </w:p>
        </w:tc>
        <w:tc>
          <w:tcPr>
            <w:tcW w:w="235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Controls and Procedures</w:t>
            </w:r>
          </w:p>
        </w:tc>
      </w:tr>
    </w:tbl>
    <w:p w:rsidR="00647C25" w:rsidRDefault="00647C25" w:rsidP="00647C25">
      <w:pPr>
        <w:adjustRightInd w:val="0"/>
        <w:spacing w:before="120"/>
        <w:ind w:right="-2880"/>
        <w:rPr>
          <w:rFonts w:ascii="Times" w:eastAsiaTheme="minorEastAsia" w:hAnsi="Times" w:cs="Times"/>
          <w:sz w:val="24"/>
          <w:szCs w:val="24"/>
        </w:rPr>
      </w:pPr>
      <w:r>
        <w:rPr>
          <w:rFonts w:ascii="Times" w:eastAsiaTheme="minorEastAsia" w:hAnsi="Times" w:cs="Times"/>
          <w:i/>
          <w:iCs/>
          <w:sz w:val="18"/>
          <w:szCs w:val="18"/>
        </w:rPr>
        <w:t>Evaluation of Disclosure Controls and Procedures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Exchange Act were effective as of December 31, 2016 to ensure that information required to be disclosed by the Company in reports that it files or submits under the Exchange Act is (i)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i/>
          <w:iCs/>
          <w:sz w:val="18"/>
          <w:szCs w:val="18"/>
        </w:rPr>
        <w:t>Changes in Internal Control Over Financial Reporting</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There were no changes in the Company’s internal control over financial reporting during the first quarter of 2017 , which were identified in connection with management’s evaluation required by paragraph (d) of Rules 13a-15 and 15d-15 under </w:t>
      </w:r>
      <w:r>
        <w:rPr>
          <w:rFonts w:ascii="Times" w:eastAsiaTheme="minorEastAsia" w:hAnsi="Times" w:cs="Times"/>
          <w:sz w:val="18"/>
          <w:szCs w:val="18"/>
        </w:rPr>
        <w:lastRenderedPageBreak/>
        <w:t>the Exchange Act, that have materially affected, or are reasonably likely to materially affect, the Company’s internal control over financial reporting.</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32</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sz w:val="18"/>
          <w:szCs w:val="18"/>
        </w:rPr>
        <w:t>PART II — OTHER INFORMATION</w:t>
      </w:r>
    </w:p>
    <w:tbl>
      <w:tblPr>
        <w:tblW w:w="0" w:type="auto"/>
        <w:tblBorders>
          <w:top w:val="nil"/>
          <w:left w:val="nil"/>
          <w:right w:val="nil"/>
        </w:tblBorders>
        <w:tblLayout w:type="fixed"/>
        <w:tblLook w:val="0000" w:firstRow="0" w:lastRow="0" w:firstColumn="0" w:lastColumn="0" w:noHBand="0" w:noVBand="0"/>
      </w:tblPr>
      <w:tblGrid>
        <w:gridCol w:w="920"/>
        <w:gridCol w:w="1743"/>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7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1.</w:t>
            </w:r>
          </w:p>
        </w:tc>
        <w:tc>
          <w:tcPr>
            <w:tcW w:w="174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Legal Proceedings</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sz w:val="18"/>
          <w:szCs w:val="18"/>
        </w:rPr>
        <w:t xml:space="preserve">The Company is subject to legal proceedings and claims that have not been fully resolved and that have arisen in the ordinary course of business. In the opinion of management, there was not at least a reasonable possibility the Company may have incurred a material loss, or a material loss in excess of a recorded accrual, with respect to loss contingencies for asserted legal and other claims. However, the outcome of legal proceedings and claims brought against the Company is subject to significant uncertainty. Therefore, although management considers the likelihood of such an outcome to be remote, if one or more of these legal matters were resolved against the Company in a reporting period for amounts in excess of management’s expectations, the Company’s consolidated financial statements for that reporting period could be materially adversely affected. See the risk factor “ </w:t>
      </w:r>
      <w:r>
        <w:rPr>
          <w:rFonts w:ascii="Times" w:eastAsiaTheme="minorEastAsia" w:hAnsi="Times" w:cs="Times"/>
          <w:i/>
          <w:iCs/>
          <w:sz w:val="18"/>
          <w:szCs w:val="18"/>
        </w:rPr>
        <w:t>The Company could be impacted by</w:t>
      </w:r>
      <w:r>
        <w:rPr>
          <w:rFonts w:ascii="Times" w:eastAsiaTheme="minorEastAsia" w:hAnsi="Times" w:cs="Times"/>
          <w:sz w:val="18"/>
          <w:szCs w:val="18"/>
        </w:rPr>
        <w:t xml:space="preserve"> </w:t>
      </w:r>
      <w:r>
        <w:rPr>
          <w:rFonts w:ascii="Times" w:eastAsiaTheme="minorEastAsia" w:hAnsi="Times" w:cs="Times"/>
          <w:i/>
          <w:iCs/>
          <w:sz w:val="18"/>
          <w:szCs w:val="18"/>
        </w:rPr>
        <w:t>unfavorable results of legal proceedings, such as being found to have infringed on intellectual property rights</w:t>
      </w:r>
      <w:r>
        <w:rPr>
          <w:rFonts w:ascii="Times" w:eastAsiaTheme="minorEastAsia" w:hAnsi="Times" w:cs="Times"/>
          <w:sz w:val="18"/>
          <w:szCs w:val="18"/>
        </w:rPr>
        <w:t xml:space="preserve"> ” in Part II, Item 1A of this Form 10-Q under the heading “Risk Factors.” The Company settled certain matters during the first quarter of 2017 that did not individually or in the aggregate have a material impact on the Company’s financial condition or operating results.</w:t>
      </w:r>
    </w:p>
    <w:tbl>
      <w:tblPr>
        <w:tblW w:w="0" w:type="auto"/>
        <w:tblBorders>
          <w:top w:val="nil"/>
          <w:left w:val="nil"/>
          <w:right w:val="nil"/>
        </w:tblBorders>
        <w:tblLayout w:type="fixed"/>
        <w:tblLook w:val="0000" w:firstRow="0" w:lastRow="0" w:firstColumn="0" w:lastColumn="0" w:noHBand="0" w:noVBand="0"/>
      </w:tblPr>
      <w:tblGrid>
        <w:gridCol w:w="920"/>
        <w:gridCol w:w="1237"/>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3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1A.</w:t>
            </w:r>
          </w:p>
        </w:tc>
        <w:tc>
          <w:tcPr>
            <w:tcW w:w="1237"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Risk Factors</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sz w:val="18"/>
          <w:szCs w:val="18"/>
        </w:rPr>
        <w:t>The following description of risk factors includes any material changes to, and supersedes the description of, risk factors associated with the Company’s business previously disclosed in Part I, Item 1A of the 2016 Form 10-K under the heading “Risk Factors.” 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in part, could materially and adversely affect the Company’s business, financial condition, operating results and stock price.</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following discussion of risk factors contains forward-looking statements. These risk factors may be important to understanding other statements in this Form 10-Q. The following information should be read in conjunction with the condensed consolidated financial statements and related notes in Part I, Item 1, “Financial Statements” and Part I, Item 2, “Management’s Discussion and Analysis of Financial Condition and Results of Operations” of this Form 10-Q.</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Global and regional economic conditions could materially adversely affect the Company.</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operations and performance depend significantly on global and regional economic conditions. Uncertainty about global and regional economic conditions poses a risk as consumers and businesses may postpone spending in response to tighter credit, higher unemployment, financial market volatility, government austerity programs, negative financial news, declines in income or asset values and/or other factors. These worldwide and regional economic conditions could have a material adverse effect on demand for the Company’s products and services. Demand also could differ materially from the Company’s expectations as a result of currency fluctuations because the Company generally raises prices on goods and services sold outside the U.S. to correspond with the effect of a strengthening of the U.S. dollar. Other factors that could influence worldwide or regional demand include changes in fuel and other energy costs, conditions in the real estate and mortgage markets, unemployment, labor and healthcare costs, access to credit, consumer confidence and other macroeconomic factors affecting consumer spending behavior. These and other economic factors could materially adversely affect demand for the Company’s products and services.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In the event of financial turmoil affecting the banking system and financial markets, additional consolidation of the financial services industry, or significant financial service institution failures, there could be tightening in the credit markets, low liquidity and extreme volatility in fixed income, credit, currency and equity markets. This could have a number of effects on the Company’s business, including the insolvency or financial instability of outsourcing partners or suppliers or their inability to obtain credit to finance development and/or manufacture products resulting in product delays; inability of customers, including channel partners, to obtain credit to finance purchases of the Company’s products; failure of derivative counterparties and other financial institutions; and restrictions on the Company’s ability to issue new debt. Other income and expense also could vary materially from expectations depending on gains or losses realized on the sale or exchange of financial instruments; impairment charges resulting from revaluations of debt and equity securities and other investments; changes in interest rates; increases or decreases in cash balances; volatility in foreign exchange rates; and changes in fair value of derivative instruments. Increased volatility in the financial markets and overall economic uncertainty would increase the risk of the actual amounts realized in the future on the Company’s financial instruments differing significantly from the fair values currently assigned to them.</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33</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Global markets for the Company’s products and services are highly competitive and subject to rapid technological change, and the Company may be unable to compete effectively in these markets.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The Company’s products and services compete in highly competitive global markets characterized by aggressive price cutting and resulting downward pressure on gross margins, frequent introduction of new products, short product life cycles, </w:t>
      </w:r>
      <w:r>
        <w:rPr>
          <w:rFonts w:ascii="Times" w:eastAsiaTheme="minorEastAsia" w:hAnsi="Times" w:cs="Times"/>
          <w:sz w:val="18"/>
          <w:szCs w:val="18"/>
        </w:rPr>
        <w:lastRenderedPageBreak/>
        <w:t>evolving industry standards, continual improvement in product price/performance characteristics, rapid adoption of technological and product advancements by competitors and price sensitivity on the part of consumers.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 Company currently holds a significant number of patents and copyrights and has registered and/or has applied to register numerous patents, trademarks and service marks.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markets certain mobile communication and media devices based on the iOS mobile operating system and also markets related services, including third-party digital content and applications. The Company faces substantial competition in these markets from companies that have significant technical, marketing, distribution and other resources, as well as established hardware, software and digital content supplier relationships; and the Company has a minority market share in the global smartphone market. Additionally, the Company faces significant price competition as competitors reduce their selling prices and attempt to imitate the Company’s product features and applications within their own products or, alternatively, collaborate with each other to offer solutions that are more competitive than those they currently offer. The Company competes with business models that provide content to users for free. The Company also competes with illegitimate means to obtain third-party digital content and applications. Some of the Company’s competitors have greater experience, product breadth and distribution channels than the Company. Because some current and potential competitors have substantial resources and/or experience and a lower cost structure, they may be able to provide products and services at little or no profit or even at a loss. The Company also expects competition to intensify as competitors attempt to imitate the Company’s approach to providing components seamlessly within their individual offerings or work collaboratively to offer integrated solutions. The Company’s financial condition and operating results depend substantially on the Company’s ability to continually improve iOS and iOS devices in order to maintain their functional and design advantages.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is the only authorized maker of hardware using macOS, which has a minority market share in the personal computer market. This market has been contracting and is dominated by computer makers using competing operating systems, most notably Windows. In the market for personal computers and accessories, the Company faces a significant number of competitors, many of which have broader product lines, lower priced products and a larger installed customer base. Historically, consolidation in this market has resulted in larger competitors. Price competition has been particularly intense as competitors have aggressively cut prices and lowered product margins. An increasing number of internet-enabled devices that include software applications and are smaller and simpler than traditional personal computers compete for market share with the Company’s existing products. The Company’s financial condition and operating results also depend on its ability to continually improve the Mac platform to maintain its functional and design advantages.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There can be no assurance the Company will be able to continue to provide products and services that compete effectively.</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To remain competitive and stimulate customer demand, the Company must successfully manage frequent product introductions and transitions.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successfully manage the transition to these new and upgraded products. The success of new product introductions depends on a number of factors including, but not limited to, timely and successful product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may have quality or other defects or deficiencies in the early stages of introduction. Accordingly, the Company cannot determine in advance the ultimate effect of new product introductions and transitions.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34</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depends on the performance of distributors, carriers and other resellers.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distributes its products through cellular network carriers, wholesalers, national and regional retailers and value-added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Some carriers providing cellular network service for iPhone subsidize users’ purchases of the device. There is no assurance that such subsidies will be continued at all or in the same amounts upon renewal of the Company’s agreements with these carriers or in agreements the Company enters into with new carriers.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revenue.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faces substantial inventory and other asset risk in addition to purchase commitment cancellation risk.</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The Company records a write-down for product and component inventories that have become obsolete or exceed anticipated demand or net realizable value and accrues necessary cancellation fee reserves for orders of excess products and components. The Company also reviews its long-lived assets, including capital assets held at its suppliers’ facilities and inventory prepayments, for impairment whenever events or circumstances indicate the carrying amount of an asset may not </w:t>
      </w:r>
      <w:r>
        <w:rPr>
          <w:rFonts w:ascii="Times" w:eastAsiaTheme="minorEastAsia" w:hAnsi="Times" w:cs="Times"/>
          <w:sz w:val="18"/>
          <w:szCs w:val="18"/>
        </w:rPr>
        <w:lastRenderedPageBreak/>
        <w:t>be recoverable. If the Company determines that impairment has occurred, it records a write-down equal to the amount by which the carrying value of the assets exceeds its fair value. Although the Company believes its provisions related to inventory, capital assets, inventory prepayments and other assets and purchase commitments are currently adequate, no assurance can be given that the Company will not incur additional related charges given the rapid and unpredictable pace of product obsolescence in the industries in which the Company competes.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must order components for its products and build inventory in advance of product announcements and shipments. Consistent with industry practice, components are normally acquired through a combination of purchase orders, supplier contracts and open orders, in each case based on projected demand. Manufacturing purchase obligations typically cover forecasted component and manufacturing requirements for periods up to 150 days .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Future operating results depend upon the Company’s ability to obtain components in sufficient quantities on commercially reasonable terms.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Because the Company currently obtains components from single or limited sources, the Company is subject to significant supply and pricing risks. Many components, including those that are available from multiple sources, are at times subject to industry-wide shortages and significant commodity pricing fluctuations. While the Company has entered into agreements for the supply of many components, there can be no assurance that the Company will be able to extend or renew these agreements on similar terms, or at all. A number of suppliers of components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 </w:t>
      </w:r>
      <w:r>
        <w:rPr>
          <w:rFonts w:ascii="Times" w:eastAsiaTheme="minorEastAsia" w:hAnsi="Times" w:cs="Times"/>
          <w:i/>
          <w:iCs/>
          <w:sz w:val="18"/>
          <w:szCs w:val="18"/>
        </w:rPr>
        <w:t>Global and regional economic conditions could materially adversely affect the Company”</w:t>
      </w:r>
      <w:r>
        <w:rPr>
          <w:rFonts w:ascii="Times" w:eastAsiaTheme="minorEastAsia" w:hAnsi="Times" w:cs="Times"/>
          <w:sz w:val="18"/>
          <w:szCs w:val="18"/>
        </w:rPr>
        <w:t xml:space="preserve"> above, also could affect the Company’s ability to obtain components </w:t>
      </w:r>
      <w:r>
        <w:rPr>
          <w:rFonts w:ascii="Times" w:eastAsiaTheme="minorEastAsia" w:hAnsi="Times" w:cs="Times"/>
          <w:i/>
          <w:iCs/>
          <w:sz w:val="18"/>
          <w:szCs w:val="18"/>
        </w:rPr>
        <w:t>.</w:t>
      </w:r>
      <w:r>
        <w:rPr>
          <w:rFonts w:ascii="Times" w:eastAsiaTheme="minorEastAsia" w:hAnsi="Times" w:cs="Times"/>
          <w:sz w:val="18"/>
          <w:szCs w:val="18"/>
        </w:rPr>
        <w:t xml:space="preserve"> Therefore, the Company remains subject to significant risks of supply shortages and price increases.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those suppliers decide to concentrate on the production of common components instead of components customized to meet the Company’s requirements. The supply of components for a new or existing product could be delayed or constrained, or a key manufacturing vendor could delay shipments of completed products to the Company.</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35</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depends on component and product manufacturing and logistical services provided by outsourcing partners, many of which are located outside of the U.S.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Substantially all of the Company’s manufacturing is performed in whole or in part by a few outsourcing partners located primarily in Asia. The Company has also outsourced much of its transportation and logistics management. While these arrangements may lower operating costs, they also reduce the Company’s direct control over production and distribution. It is uncertain what effect such diminished control will have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relies on sole-sourced outsourcing partners in the U.S., Asia and Europe to supply and manufacture many critical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or economic, business, labor, environmental, public health, or political issues.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net realizable value of these assets could be negatively impacted.</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products and services may experience quality problems from time to time that can result in decreased sales and operating margin and harm to the Company’s reputation.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sells complex hardware and software products and services that can contain design and manufacturing defects. Sophisticated operating system software and applications, such as those sold by the Company, often contain “bugs” that can unexpectedly interfere with the software’s intended operation. The Company’s online services may from time to time experience outages, service slowdowns, or errors. Defects may also occur in components and products the Company purchases from third parties. There can be no assurance the Company will be able to detect and fix all defects in the hardware, software and services it sells. Failure to do so could result in lost revenue, significant warranty and other expenses and harm to the Company’s reputation.</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relies on access to third-party digital content, which may not be available to the Company on commercially reasonable terms or at all.</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w:t>
      </w:r>
      <w:r>
        <w:rPr>
          <w:rFonts w:ascii="Times" w:eastAsiaTheme="minorEastAsia" w:hAnsi="Times" w:cs="Times"/>
          <w:sz w:val="18"/>
          <w:szCs w:val="18"/>
        </w:rPr>
        <w:lastRenderedPageBreak/>
        <w:t>increase the cost of, such content. The Company may be unable to continue to offer a wide variety of content at reasonable prices with acceptable usage rules, or continue to expand its geographic reach. Failure to obtain the right to make available third-party digital content, or to make available such content on commercially reasonable terms, could have a material adverse impact on the Company’s financial condition and operating results.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36</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future performance depends in part on support from third-party software developers.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believes decisions by customers to purchase its hardware products depend in part on the availability of third</w:t>
      </w:r>
      <w:r>
        <w:rPr>
          <w:rFonts w:ascii="Cambria Math" w:eastAsiaTheme="minorEastAsia" w:hAnsi="Cambria Math" w:cs="Cambria Math"/>
          <w:sz w:val="18"/>
          <w:szCs w:val="18"/>
        </w:rPr>
        <w:t>‑</w:t>
      </w:r>
      <w:r>
        <w:rPr>
          <w:rFonts w:ascii="Times" w:eastAsiaTheme="minorEastAsia" w:hAnsi="Times" w:cs="Times"/>
          <w:sz w:val="18"/>
          <w:szCs w:val="18"/>
        </w:rPr>
        <w:t>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With respect to its Mac products, the Company believes the availability of third</w:t>
      </w:r>
      <w:r>
        <w:rPr>
          <w:rFonts w:ascii="Cambria Math" w:eastAsiaTheme="minorEastAsia" w:hAnsi="Cambria Math" w:cs="Cambria Math"/>
          <w:sz w:val="18"/>
          <w:szCs w:val="18"/>
        </w:rPr>
        <w:t>‑</w:t>
      </w:r>
      <w:r>
        <w:rPr>
          <w:rFonts w:ascii="Times" w:eastAsiaTheme="minorEastAsia" w:hAnsi="Times" w:cs="Times"/>
          <w:sz w:val="18"/>
          <w:szCs w:val="18"/>
        </w:rPr>
        <w:t>party software applications and services depends in part on the developers’ perception and analysis of the relative benefits of developing, maintaining and upgrading such software for the Company’s products compared to Windows-based products. This analysis may be based on factors such as the market position of the Company and its products, the anticipated revenue that may be generated, expected future growth of Mac sales and the costs of developing such applications and services. If the Company’s minority share of the global personal computer market causes developers to question the Mac’s prospects, developers could be less inclined to develop or upgrade software for the Company’s Mac products and more inclined to devote their resources to developing and upgrading software for the larger Windows market.</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With respect to iOS devices, the Company relies on the continued availability and development of compelling and innovative software applications, including applications distributed through the App Store. iOS devices are subject to rapid technological change, and, if third-party developers are unable to or choose not to keep up with this pace of change, third-party applications might not successfully operate and may result in dissatisfied customers. As with applications for the Company’s Mac products, the availability and development of these applications also depend on developers’ perceptions and analysis of the relative benefits of developing, maintaining or upgrading software for the Company’s iOS devices rather than its competitors’ platforms, such as Android. If developers focus their efforts on these competing platforms, the availability and quality of applications for the Company’s iOS devices may suffer.</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relies on access to third-party intellectual property, which may not be available to the Company on commercially reasonable terms or at all.</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otherwise have a material adverse impact on the Company’s financial condition and operating results.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could be impacted by unfavorable results of legal proceedings, such as being found to have infringed on intellectual property rights.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 subject to various legal proceedings and claims that have not yet been fully resolved and that have arisen in the ordinary course of business, and additional claims may arise in the future.</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For example, technology companies, including many of the Company’s competitors, frequently enter into litigation based on allegations of patent infringement or other violations of intellectual property rights. In addition, patent holding companies seek to monetize patents they have purchased or otherwise obtained. The intellectual property rights claims against the Company have generally increased over time and may continue to increase. In particular, the Company's cellular enabled products compete with products from mobile communication and media device companies that hold significant patent portfolios, and the Company has faced a significant number of patent claims against it.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Regardless of the scope or validity of such patents or other intellectual property rights, or the merits of any claims by potential or actual litigants, the Company may have to engage in protracted litigation. If the Company is found to infringe one or more patents or other intellectual property rights, regardless of whether it can develop non-infringing technology, it may be required to pay substantial damages or royalties to a third-party, or it may be subject to a temporary or permanent injunction prohibiting the Company from marketing or selling certain products.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In certain cases, the Company may consider the desirability of entering into licensing agreements, although no assurance can be given that such licenses can be obtained on acceptable terms or that litigation will not occur. These licenses may also significantly increase the Company’s operating expenses.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37</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Regardless of the merit of particular claims, litigation may be expensive, time-consuming, disruptive to the Company’s operations and distracting to management. In recognition of these considerations, the Company may enter into arrangements to settle litigation.</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In management’s opinion, there is not at least a reasonable possibility the Company may have incurred a material loss, or a material loss in excess of a recorded accrual, with respect to loss contingencies, including matters related to infringement of intellectual property rights. However, the outcome of litigation is inherently uncertain.</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Although management considers the likelihood of such an outcome to be remote, if one or more legal matters were resolved against the Company in a reporting period for amounts in excess of management’s expectations, the Company’s consolidated financial statements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is subject to laws and regulations worldwide, changes to which could increase the Company’s costs and individually or in the aggregate adversely affect the Company’s business.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 subject to laws and regulations affecting its domestic and international operations in a number of areas. These U.S. and foreign laws and regulations affect the Company’s activities including, but not limited to, in areas of labor, advertising, digital content, consumer protection, real estate, billing, e-commerce, promotions, quality of services, telecommunications, mobile communications and media, television, intellectual property ownership and infringement, tax, import and export requirements, anti-corruption, foreign exchange controls and cash repatriation restrictions, data privacy requirements, anti-competition, environmental, health and safety.</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 </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Compliance with these laws, regulations and similar requirements may be onerous and expensive, and they may be inconsistent from jurisdiction to jurisdiction, further increasing the cost of compliance and 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business is subject to the risks of international operations.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derives a significant portion of its revenue and earnings from its international operations. Compliance with applicable U.S. and foreign laws and regulations, such as import and export requirements, anti-corruption laws, tax laws, foreign exchange controls and cash repatriation restrictions, data privacy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also could be significantly affected by other risks associated with international activities including, but not limited to, economic and labor conditions, increased duties, taxes and other costs and political instability. Margins on sales of the Company’s products in foreign countries, and on sales of products that include components obtained from foreign suppliers, could be materially adversely affected by international trade regulations, including duties, tariffs and antidumping penalties. The Company is also exposed to credit and collectability risk on its trade receivables with customers in certain international markets. There can be no assurance the Company can effectively limit its credit risk and avoid losses.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38</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retail stores have required and will continue to require a substantial investment and commitment of resources and are subject to numerous risks and uncertainties.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and serve as vehicles for corporate sales and marketing activities.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Many factors unique to retail operations, some of which are beyond the Company’s control, pose risks and uncertainties. These risks and uncertainties include, but are not limited to, macro-economic factors that could have an adverse effect on general retail activity, as well as the Company’s inability to manage costs associated with store construction and operation, the Company’s failure to manage relationships with its existing retail partners, more challenging environments in managing retail operations outside the U.S., costs associated with unanticipated fluctuations in the value of retail inventory, and the Company’s inability to obtain and renew leases in quality retail locations at a reasonable cost.</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lastRenderedPageBreak/>
        <w:t>Investment in new business strategies and acquisitions could disrupt the Company’s ongoing business and present risks not originally contemplated.</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business and reputation may be impacted by information technology system failures or network disruptions.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may be subject to information technology system failures and network disruptions. These may be caused by natural disasters, accidents, power disruptions, telecommunications failures, acts of terrorism or war, computer viruses, physical or electronic break-ins, or other events or disruptions. System redundancy may be ineffective or inadequate, and the Company’s disaster recovery planning may not be sufficient for all eventualities. Such failures or disruptions could, among other things, prevent access to the Company’s online stores and services, preclude retail store transactions, compromise Company or customer data, and result in delayed or cancelled orders. System failures and disruptions could also impede the manufacturing and shipping of products, delivery of online services, transactions processing and financial reporting.</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There may be breaches of the Company’s information technology systems that materially damage business partner and customer relationships, curtail or otherwise adversely impact access to online stores and services, or subject the Company to significant reputational, financial, legal and operational consequences.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business requires it to use and store customer, employee and business partner personally identifiable information (“PII”). This may include, among other information, names, addresses, phone numbers, email addresses, contact preferences, tax identification numbers and payment account information. Although malicious attacks to gain access to PII affect many companies across various industries, the Company is at a relatively greater risk of being targeted because of its high profile and the amount of PII it manages.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requires user names and passwords in order to access its information technology systems. The Company also uses encryption and authentication technologies designed to secure the transmission and storage of data and prevent access to Company data or accounts. As with all companies, these security measures are subject to third-party security breaches, employee error, malfeasance, faulty password management, or other irregularities. For example, third parties may attempt to fraudulently induce employees or customers into disclosing user names, passwords or other sensitive information, which may in turn be used to access the Company’s information technology systems. To help protect customers and the Company, the Company monitors accounts and systems for unusual activity and may freeze accounts under suspicious circumstances, which may result in the delay or loss of customer orders.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39</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devotes significant resources to network security, data encryption and other security measures to protect its systems and data, but these security measures cannot provide absolute security. To the extent the Company was to experience a breach of its systems and was unable to protect sensitive data, such a breach could materially damage business partner and customer relationships, and curtail or otherwise adversely impact access to online stores and services. Moreover, if a computer security breach affects the Company’s systems or results in the unauthorized release of PII, the Company’s reputation and brand could be materially damaged, use of the Company’s products and services could decrease, and the Company could be exposed to a risk of loss or litigation and possible liability. While the Company maintains insurance coverage that, subject to policy terms and conditions and subject to a significant self-insured retention, is designed to address certain aspects of cyber risks, such insurance coverage may be insufficient to cover all losses or all types of claims that may arise in the continually evolving area of cyber risk.</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is also subject to payment card association rules and obligations under its contracts with payment card processors. Under these rules and obligations, if information is compromised, the Company could be liable to payment card issuers for associated expenses and penalties. In addition, if the Company fails to follow payment card industry security standards, even if no customer information is compromised, the Company could incur significant fines or experience a significant increase in payment card transaction costs.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business is subject to a variety of U.S. and international laws, rules, policies and other obligations regarding data protection.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Penalties could include ongoing audit requirements or significant legal liability.</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success depends largely on the continued service and availability of key personnel.</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Much of the Company’s future success depends on the continued availability and service of key personnel, including its Chief Executive Officer, executive team and other highly skilled employees. Experienced personnel in the technology industry are in high demand and competition for their talents is intense, especially in Silicon Valley, where most of the Company’s key personnel are located.</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lastRenderedPageBreak/>
        <w:t>The Company’s business may be impacted by political events, war, terrorism, public health issues, natural disasters and other business interruptions.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War, terrorism, geopolitical uncertainties, public health issues and other business interruptions have caused and could cause damage or disruption to international commerce and the global economy, and thus could have a material adverse effect on the Company, its suppliers, logistics providers, manufacturing vendors and customers, including channel partners. The Company’s business operations are subject to interruption by, among others, natural disasters, whether as a result of climate change or otherwise, fire, power shortages, nuclear power plant accidents and other industrial accidents, terrorist attacks and other hostile acts, labor disputes, public health issues and other events beyond its control. Such events could decrease demand for the Company’s products, make it difficult or impossible for the Company to make and deliver products to its customers, including channel partners, or to receive components from its suppliers, and create delays and inefficiencies in the Company’s supply chain.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manufacturing vendors and component suppliers. The majority of the Company’s R&amp;D activities, its corporate headquarters, information technology systems and other critical business operations, including certain component suppliers and manufacturing vendors, are in locations that could be affected by natural disasters. In the event of a natural disaster, the Company could incur significant losses, require substantial recovery time and experience significant expenditures in order to resume operations.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40</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expects its quarterly revenue and operating results to fluctuate.</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profit margins vary across its products and distribution channels. The Company’s software, accessories, and service and support contracts generally have higher gross margins than certain of the Company’s other products. Gross margins on the Company’s hardware products vary across product lines and can change over time as a result of product transitions, pricing and configuration changes, and component, warranty, and other cost fluctuations. The Company’s direct sales generally have higher associated gross margins than its indirect sales through its channel partners. In addition, the Company’s gross margin and operating margin percentages, as well as overall profitability, may be materially adversely impacted as a result of a shift in product, geographic or channel mix, component cost increases, the strengthening U.S. dollar, price competition, or the introduction of new products, including those that have higher cost structures with flat or reduced pricing.</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has typically experienced higher net sales in its first quarter compared to other quarters due in part to seasonal holiday demand. Additionally, new product introductions can significantly impact net sales, product costs and operating expenses. Further, the Company generates a majority of its net sales from a single product and a decline in demand for that product could significantly impact quarterly net sales. The Company could also be subject to unexpected developments late in a quarter, such as lower-than-anticipated demand for the Company’s products, issues with new product introductions, an internal systems failure, or failure of one of the Company’s logistics, components supply, or manufacturing partners.</w:t>
      </w:r>
    </w:p>
    <w:p w:rsidR="00647C25" w:rsidRDefault="00647C25" w:rsidP="00647C25">
      <w:pPr>
        <w:adjustRightInd w:val="0"/>
        <w:spacing w:before="360"/>
        <w:ind w:right="-2880"/>
        <w:rPr>
          <w:rFonts w:ascii="Times" w:eastAsiaTheme="minorEastAsia" w:hAnsi="Times" w:cs="Times"/>
          <w:sz w:val="24"/>
          <w:szCs w:val="24"/>
        </w:rPr>
      </w:pPr>
      <w:r>
        <w:rPr>
          <w:rFonts w:ascii="Times" w:eastAsiaTheme="minorEastAsia" w:hAnsi="Times" w:cs="Times"/>
          <w:b/>
          <w:bCs/>
          <w:i/>
          <w:iCs/>
          <w:sz w:val="18"/>
          <w:szCs w:val="18"/>
        </w:rPr>
        <w:t>The Company’s stock price is subject to volatility.</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Company’s financial performance is subject to risks associated with changes in the value of the U.S. dollar versus local currencies.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Company’s primary exposure to movements in foreign currency exchange rates relates to non-U.S. dollar-denominated sales and operating expenses worldwide. Weakening of foreign currencies relative to the U.S. dollar adversely affects the U.S. dollar value of the Company’s foreign currency-denominated sales and earnings, and generally leads the Company to raise international pricing, potentially reducing demand for the Company’s products. Margins on sales of the Company’s products in foreign countries and on sales of products that include components obtained from foreign suppliers, could be materially adversely affected by foreign currency exchange rate fluctuations. In some circumstances, for competitive or other reasons, the Company may decide not to raise local prices to fully offset the dollar’s strengthening, or at all, which would adversely affect the U.S. dollar value of the Company’s foreign currency-denominated sales and earnings. 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also increase the Company’s cost of product components denominated in those currencies, thus adversely affecting gross margins.</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uses derivative instruments, such as foreign currency forward and option contracts, to hedge certain exposures to fluctuations in foreign currency exchange rates. The use of such hedging activities may not offset any, or more than a portion, of the adverse financial effects of unfavorable movements in foreign exchange rates over the limited time the hedges are in place.</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is exposed to credit risk and fluctuations in the market values of its investment portfolio.</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 xml:space="preserve">Given the global nature of its business, the Company has both domestic and international investments. Credit ratings and pricing of the Company’s investments can be negatively affected by liquidity, credit deterioration, financial results, economic risk, political risk, sovereign risk or other factors. As a result, the value and liquidity of the Company’s cash, cash equivalents and marketable securities may fluctuate substantially. Therefore, although the Company has not realized any </w:t>
      </w:r>
      <w:r>
        <w:rPr>
          <w:rFonts w:ascii="Times" w:eastAsiaTheme="minorEastAsia" w:hAnsi="Times" w:cs="Times"/>
          <w:sz w:val="18"/>
          <w:szCs w:val="18"/>
        </w:rPr>
        <w:lastRenderedPageBreak/>
        <w:t>significant losses on its cash, cash equivalents and marketable securities, future fluctuations in their value could result in a significant realized loss.</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41</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is exposed to credit risk on its trade accounts receivable, vendor non-trade receivables and prepayments related to long-term supply agreements, and this risk is heightened during periods when economic conditions worsen.</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distributes its products through third-party cellular network carriers, wholesalers, retailers and value-added resellers. The Company also sells its products directly to small and mid-sized businesses and education, enterprise and government customers. A substantial majority of the Company’s outstanding trade receivables are not covered by collateral, third-party financing arrangements or credit insurance. The Company’s exposure to credit and collectability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December 31, 2016 , a significant portion of the Company’s trade 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rsidR="00647C25" w:rsidRDefault="00647C25" w:rsidP="00647C25">
      <w:pPr>
        <w:adjustRightInd w:val="0"/>
        <w:spacing w:before="360"/>
        <w:ind w:right="-2880"/>
        <w:jc w:val="both"/>
        <w:rPr>
          <w:rFonts w:ascii="Times" w:eastAsiaTheme="minorEastAsia" w:hAnsi="Times" w:cs="Times"/>
          <w:sz w:val="24"/>
          <w:szCs w:val="24"/>
        </w:rPr>
      </w:pPr>
      <w:r>
        <w:rPr>
          <w:rFonts w:ascii="Times" w:eastAsiaTheme="minorEastAsia" w:hAnsi="Times" w:cs="Times"/>
          <w:b/>
          <w:bCs/>
          <w:i/>
          <w:iCs/>
          <w:sz w:val="18"/>
          <w:szCs w:val="18"/>
        </w:rPr>
        <w:t>The Company could be subject to changes in its tax rates, the adoption of new U.S. or international tax legislation or exposure to additional tax liabilities.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valuation of deferred tax assets and liabilities, or changes in tax laws or their interpretation, including in the U.S. and Ireland.</w:t>
      </w:r>
    </w:p>
    <w:p w:rsidR="00647C25" w:rsidRDefault="00647C25" w:rsidP="00647C25">
      <w:pPr>
        <w:adjustRightInd w:val="0"/>
        <w:spacing w:before="240"/>
        <w:ind w:right="-2880"/>
        <w:jc w:val="both"/>
        <w:rPr>
          <w:rFonts w:ascii="Times" w:eastAsiaTheme="minorEastAsia" w:hAnsi="Times" w:cs="Times"/>
          <w:sz w:val="24"/>
          <w:szCs w:val="24"/>
        </w:rPr>
      </w:pPr>
      <w:r>
        <w:rPr>
          <w:rFonts w:ascii="Times" w:eastAsiaTheme="minorEastAsia" w:hAnsi="Times" w:cs="Times"/>
          <w:sz w:val="18"/>
          <w:szCs w:val="18"/>
        </w:rPr>
        <w:t>The Company is also subject to the examination of its tax returns and other tax matters by the U.S. Internal Revenue Service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adversely affected.</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42</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647C25" w:rsidRDefault="00647C25" w:rsidP="00647C25">
      <w:pPr>
        <w:adjustRightInd w:val="0"/>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920"/>
        <w:gridCol w:w="5999"/>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599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2.</w:t>
            </w:r>
          </w:p>
        </w:tc>
        <w:tc>
          <w:tcPr>
            <w:tcW w:w="599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Unregistered Sales of Equity Securities and Use of Proceeds</w:t>
            </w:r>
          </w:p>
        </w:tc>
      </w:tr>
    </w:tbl>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b/>
          <w:bCs/>
          <w:sz w:val="18"/>
          <w:szCs w:val="18"/>
        </w:rPr>
        <w:t>Purchases of Equity Securities by the Issuer and Affiliated Purchasers</w:t>
      </w:r>
    </w:p>
    <w:p w:rsidR="00647C25" w:rsidRDefault="00647C25" w:rsidP="00647C25">
      <w:pPr>
        <w:adjustRightInd w:val="0"/>
        <w:spacing w:before="120"/>
        <w:ind w:right="-2880"/>
        <w:jc w:val="both"/>
        <w:rPr>
          <w:rFonts w:ascii="Times" w:eastAsiaTheme="minorEastAsia" w:hAnsi="Times" w:cs="Times"/>
          <w:sz w:val="24"/>
          <w:szCs w:val="24"/>
        </w:rPr>
      </w:pPr>
      <w:r>
        <w:rPr>
          <w:rFonts w:ascii="Times" w:eastAsiaTheme="minorEastAsia" w:hAnsi="Times" w:cs="Times"/>
          <w:sz w:val="18"/>
          <w:szCs w:val="18"/>
        </w:rPr>
        <w:t>Share repurchase activity during the three months ended December 31, 2016 was as follows (in millions, except number of shares, which are reflected in thousands, and per share amounts):</w:t>
      </w:r>
    </w:p>
    <w:p w:rsidR="00647C25" w:rsidRDefault="00647C25" w:rsidP="00647C25">
      <w:pPr>
        <w:adjustRightInd w:val="0"/>
        <w:spacing w:line="15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520"/>
        <w:gridCol w:w="11520"/>
        <w:gridCol w:w="7212"/>
        <w:gridCol w:w="128"/>
        <w:gridCol w:w="128"/>
        <w:gridCol w:w="128"/>
        <w:gridCol w:w="128"/>
        <w:gridCol w:w="128"/>
        <w:gridCol w:w="128"/>
        <w:gridCol w:w="128"/>
        <w:gridCol w:w="128"/>
        <w:gridCol w:w="128"/>
        <w:gridCol w:w="128"/>
        <w:gridCol w:w="128"/>
        <w:gridCol w:w="128"/>
      </w:tblGrid>
      <w:tr w:rsidR="00647C25">
        <w:tblPrEx>
          <w:tblCellMar>
            <w:top w:w="0" w:type="dxa"/>
            <w:bottom w:w="0" w:type="dxa"/>
          </w:tblCellMar>
        </w:tblPrEx>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c>
          <w:tcPr>
            <w:tcW w:w="115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76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19"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28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0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9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36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7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b/>
                <w:bCs/>
                <w:sz w:val="16"/>
                <w:szCs w:val="16"/>
              </w:rPr>
              <w:t>Periods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Total Number</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of Shares Purchased</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Average Price</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Paid Per Share</w:t>
            </w: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Total Number of Shares</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Purchased as Part of Publicly</w:t>
            </w:r>
          </w:p>
          <w:p w:rsidR="00647C25" w:rsidRDefault="00647C25">
            <w:pPr>
              <w:adjustRightInd w:val="0"/>
              <w:ind w:left="30" w:right="-2880"/>
              <w:jc w:val="center"/>
              <w:rPr>
                <w:rFonts w:ascii="Times" w:eastAsiaTheme="minorEastAsia" w:hAnsi="Times" w:cs="Times"/>
                <w:sz w:val="24"/>
                <w:szCs w:val="24"/>
              </w:rPr>
            </w:pPr>
            <w:r>
              <w:rPr>
                <w:rFonts w:ascii="Times" w:eastAsiaTheme="minorEastAsia" w:hAnsi="Times" w:cs="Times"/>
                <w:b/>
                <w:bCs/>
                <w:sz w:val="16"/>
                <w:szCs w:val="16"/>
              </w:rPr>
              <w:t>Announced Plans or Programs</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Approximate Dollar Value of</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Shares That May Yet Be Purchased</w:t>
            </w:r>
          </w:p>
          <w:p w:rsidR="00647C25" w:rsidRDefault="00647C25">
            <w:pPr>
              <w:adjustRightInd w:val="0"/>
              <w:ind w:left="30" w:right="-2850"/>
              <w:jc w:val="center"/>
              <w:rPr>
                <w:rFonts w:ascii="Times" w:eastAsiaTheme="minorEastAsia" w:hAnsi="Times" w:cs="Times"/>
                <w:sz w:val="24"/>
                <w:szCs w:val="24"/>
              </w:rPr>
            </w:pPr>
            <w:r>
              <w:rPr>
                <w:rFonts w:ascii="Times" w:eastAsiaTheme="minorEastAsia" w:hAnsi="Times" w:cs="Times"/>
                <w:b/>
                <w:bCs/>
                <w:sz w:val="16"/>
                <w:szCs w:val="16"/>
              </w:rPr>
              <w:t>Under the Plans or Programs </w:t>
            </w:r>
            <w:r>
              <w:rPr>
                <w:rFonts w:ascii="Times" w:eastAsiaTheme="minorEastAsia" w:hAnsi="Times" w:cs="Times"/>
                <w:sz w:val="16"/>
                <w:szCs w:val="16"/>
              </w:rPr>
              <w:t xml:space="preserve"> </w:t>
            </w:r>
            <w:r>
              <w:rPr>
                <w:rFonts w:ascii="Times" w:eastAsiaTheme="minorEastAsia" w:hAnsi="Times" w:cs="Times"/>
                <w:b/>
                <w:bCs/>
                <w:sz w:val="16"/>
                <w:szCs w:val="16"/>
              </w:rPr>
              <w:t>(1)</w:t>
            </w: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6"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September 25, 2016 to October 29, 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Open market and privately negotiated purchases</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8,675</w:t>
            </w:r>
          </w:p>
        </w:tc>
        <w:tc>
          <w:tcPr>
            <w:tcW w:w="30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115.28</w:t>
            </w:r>
          </w:p>
        </w:tc>
        <w:tc>
          <w:tcPr>
            <w:tcW w:w="1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8,675</w:t>
            </w:r>
          </w:p>
        </w:tc>
        <w:tc>
          <w:tcPr>
            <w:tcW w:w="30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October 30, 2016 to November 26, 2016:</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August 2016 ASR</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4,382</w:t>
            </w:r>
          </w:p>
        </w:tc>
        <w:tc>
          <w:tcPr>
            <w:tcW w:w="30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95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(2)  </w:t>
            </w:r>
          </w:p>
        </w:tc>
        <w:tc>
          <w:tcPr>
            <w:tcW w:w="11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4,382</w:t>
            </w:r>
          </w:p>
        </w:tc>
        <w:tc>
          <w:tcPr>
            <w:tcW w:w="30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November 2016 ASR</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44,814</w:t>
            </w:r>
          </w:p>
        </w:tc>
        <w:tc>
          <w:tcPr>
            <w:tcW w:w="30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(3)  </w:t>
            </w:r>
          </w:p>
        </w:tc>
        <w:tc>
          <w:tcPr>
            <w:tcW w:w="950"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74"/>
              <w:jc w:val="right"/>
              <w:rPr>
                <w:rFonts w:ascii="Times" w:eastAsiaTheme="minorEastAsia" w:hAnsi="Times" w:cs="Times"/>
                <w:sz w:val="24"/>
                <w:szCs w:val="24"/>
              </w:rPr>
            </w:pPr>
            <w:r>
              <w:rPr>
                <w:rFonts w:ascii="Times" w:eastAsiaTheme="minorEastAsia" w:hAnsi="Times" w:cs="Times"/>
                <w:sz w:val="18"/>
                <w:szCs w:val="18"/>
              </w:rPr>
              <w:t>(3)  </w:t>
            </w:r>
          </w:p>
        </w:tc>
        <w:tc>
          <w:tcPr>
            <w:tcW w:w="1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44,814</w:t>
            </w:r>
          </w:p>
        </w:tc>
        <w:tc>
          <w:tcPr>
            <w:tcW w:w="30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8"/>
                <w:szCs w:val="18"/>
              </w:rPr>
              <w:t>(3)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Open market and privately negotiated purchases</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14,084</w:t>
            </w:r>
          </w:p>
        </w:tc>
        <w:tc>
          <w:tcPr>
            <w:tcW w:w="30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109.90</w:t>
            </w:r>
          </w:p>
        </w:tc>
        <w:tc>
          <w:tcPr>
            <w:tcW w:w="11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14,084</w:t>
            </w:r>
          </w:p>
        </w:tc>
        <w:tc>
          <w:tcPr>
            <w:tcW w:w="30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November 27, 2016 to December 31, 2016:</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Borders>
            <w:top w:val="none" w:sz="0" w:space="0" w:color="auto"/>
          </w:tblBorders>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tcPr>
          <w:p w:rsidR="00647C25" w:rsidRDefault="00647C25">
            <w:pPr>
              <w:adjustRightInd w:val="0"/>
              <w:ind w:left="420" w:right="-2880"/>
              <w:rPr>
                <w:rFonts w:ascii="Times" w:eastAsiaTheme="minorEastAsia" w:hAnsi="Times" w:cs="Times"/>
                <w:sz w:val="24"/>
                <w:szCs w:val="24"/>
              </w:rPr>
            </w:pPr>
            <w:r>
              <w:rPr>
                <w:rFonts w:ascii="Times" w:eastAsiaTheme="minorEastAsia" w:hAnsi="Times" w:cs="Times"/>
                <w:sz w:val="16"/>
                <w:szCs w:val="16"/>
              </w:rPr>
              <w:t>Open market and privately negotiated purchases</w:t>
            </w:r>
          </w:p>
        </w:tc>
        <w:tc>
          <w:tcPr>
            <w:tcW w:w="19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21,574</w:t>
            </w:r>
          </w:p>
        </w:tc>
        <w:tc>
          <w:tcPr>
            <w:tcW w:w="305" w:type="dxa"/>
            <w:tcBorders>
              <w:top w:val="single" w:sz="8" w:space="0" w:color="BFBFBF"/>
              <w:left w:val="single" w:sz="8" w:space="0" w:color="BFBFBF"/>
              <w:bottom w:val="single" w:sz="6" w:space="0" w:color="auto"/>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76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113.66</w:t>
            </w:r>
          </w:p>
        </w:tc>
        <w:tc>
          <w:tcPr>
            <w:tcW w:w="119"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27"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21,574</w:t>
            </w:r>
          </w:p>
        </w:tc>
        <w:tc>
          <w:tcPr>
            <w:tcW w:w="30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023" w:type="dxa"/>
            <w:tcBorders>
              <w:top w:val="single" w:sz="8" w:space="0" w:color="BFBFBF"/>
              <w:left w:val="single" w:sz="8" w:space="0" w:color="BFBFBF"/>
              <w:bottom w:val="single" w:sz="8" w:space="0" w:color="BFBFBF"/>
              <w:right w:val="single" w:sz="8" w:space="0" w:color="BFBFBF"/>
            </w:tcBorders>
            <w:shd w:val="clear" w:color="auto" w:fill="EFEFEF"/>
            <w:tcMar>
              <w:top w:w="100" w:type="nil"/>
              <w:right w:w="100" w:type="nil"/>
            </w:tcMar>
            <w:vAlign w:val="bottom"/>
          </w:tcPr>
          <w:p w:rsidR="00647C25" w:rsidRDefault="00647C25">
            <w:pPr>
              <w:adjustRightInd w:val="0"/>
              <w:rPr>
                <w:rFonts w:ascii="Times" w:eastAsiaTheme="minorEastAsia" w:hAnsi="Times" w:cs="Times"/>
                <w:sz w:val="24"/>
                <w:szCs w:val="24"/>
              </w:rPr>
            </w:pPr>
          </w:p>
        </w:tc>
      </w:tr>
      <w:tr w:rsidR="00647C25">
        <w:tblPrEx>
          <w:tblCellMar>
            <w:top w:w="0" w:type="dxa"/>
            <w:bottom w:w="0" w:type="dxa"/>
          </w:tblCellMar>
        </w:tblPrEx>
        <w:tc>
          <w:tcPr>
            <w:tcW w:w="3966"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80" w:right="-2880"/>
              <w:rPr>
                <w:rFonts w:ascii="Times" w:eastAsiaTheme="minorEastAsia" w:hAnsi="Times" w:cs="Times"/>
                <w:sz w:val="24"/>
                <w:szCs w:val="24"/>
              </w:rPr>
            </w:pPr>
            <w:r>
              <w:rPr>
                <w:rFonts w:ascii="Times" w:eastAsiaTheme="minorEastAsia" w:hAnsi="Times" w:cs="Times"/>
                <w:sz w:val="16"/>
                <w:szCs w:val="16"/>
              </w:rPr>
              <w:lastRenderedPageBreak/>
              <w:t>Total</w:t>
            </w:r>
          </w:p>
        </w:tc>
        <w:tc>
          <w:tcPr>
            <w:tcW w:w="19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28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jc w:val="right"/>
              <w:rPr>
                <w:rFonts w:ascii="Times" w:eastAsiaTheme="minorEastAsia" w:hAnsi="Times" w:cs="Times"/>
                <w:sz w:val="24"/>
                <w:szCs w:val="24"/>
              </w:rPr>
            </w:pPr>
            <w:r>
              <w:rPr>
                <w:rFonts w:ascii="Times" w:eastAsiaTheme="minorEastAsia" w:hAnsi="Times" w:cs="Times"/>
                <w:sz w:val="16"/>
                <w:szCs w:val="16"/>
              </w:rPr>
              <w:t>93,529</w:t>
            </w:r>
          </w:p>
        </w:tc>
        <w:tc>
          <w:tcPr>
            <w:tcW w:w="305"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069"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50"/>
              <w:rPr>
                <w:rFonts w:ascii="Times" w:eastAsiaTheme="minorEastAsia" w:hAnsi="Times" w:cs="Times"/>
                <w:sz w:val="24"/>
                <w:szCs w:val="24"/>
              </w:rPr>
            </w:pPr>
            <w:r>
              <w:rPr>
                <w:rFonts w:ascii="Times" w:eastAsiaTheme="minorEastAsia" w:hAnsi="Times" w:cs="Times"/>
                <w:sz w:val="20"/>
                <w:szCs w:val="20"/>
              </w:rPr>
              <w:t> </w:t>
            </w:r>
          </w:p>
        </w:tc>
        <w:tc>
          <w:tcPr>
            <w:tcW w:w="32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85"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20"/>
                <w:szCs w:val="20"/>
              </w:rPr>
              <w:t> </w:t>
            </w:r>
          </w:p>
        </w:tc>
        <w:tc>
          <w:tcPr>
            <w:tcW w:w="391"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left="30" w:right="-2880"/>
              <w:rPr>
                <w:rFonts w:ascii="Times" w:eastAsiaTheme="minorEastAsia" w:hAnsi="Times" w:cs="Times"/>
                <w:sz w:val="24"/>
                <w:szCs w:val="24"/>
              </w:rPr>
            </w:pPr>
            <w:r>
              <w:rPr>
                <w:rFonts w:ascii="Times" w:eastAsiaTheme="minorEastAsia" w:hAnsi="Times" w:cs="Times"/>
                <w:sz w:val="16"/>
                <w:szCs w:val="16"/>
              </w:rPr>
              <w:t>$</w:t>
            </w:r>
          </w:p>
        </w:tc>
        <w:tc>
          <w:tcPr>
            <w:tcW w:w="1362"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jc w:val="right"/>
              <w:rPr>
                <w:rFonts w:ascii="Times" w:eastAsiaTheme="minorEastAsia" w:hAnsi="Times" w:cs="Times"/>
                <w:sz w:val="24"/>
                <w:szCs w:val="24"/>
              </w:rPr>
            </w:pPr>
            <w:r>
              <w:rPr>
                <w:rFonts w:ascii="Times" w:eastAsiaTheme="minorEastAsia" w:hAnsi="Times" w:cs="Times"/>
                <w:sz w:val="16"/>
                <w:szCs w:val="16"/>
              </w:rPr>
              <w:t>31,024</w:t>
            </w:r>
          </w:p>
        </w:tc>
        <w:tc>
          <w:tcPr>
            <w:tcW w:w="27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ind w:right="-2864"/>
              <w:rPr>
                <w:rFonts w:ascii="Times" w:eastAsiaTheme="minorEastAsia" w:hAnsi="Times" w:cs="Times"/>
                <w:sz w:val="24"/>
                <w:szCs w:val="24"/>
              </w:rPr>
            </w:pPr>
          </w:p>
        </w:tc>
        <w:tc>
          <w:tcPr>
            <w:tcW w:w="27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c>
          <w:tcPr>
            <w:tcW w:w="270" w:type="dxa"/>
            <w:tcBorders>
              <w:top w:val="single" w:sz="8" w:space="0" w:color="BFBFBF"/>
              <w:left w:val="single" w:sz="8" w:space="0" w:color="BFBFBF"/>
              <w:bottom w:val="single" w:sz="18" w:space="0" w:color="auto"/>
              <w:right w:val="single" w:sz="8" w:space="0" w:color="BFBFBF"/>
            </w:tcBorders>
            <w:tcMar>
              <w:top w:w="100" w:type="nil"/>
              <w:right w:w="100" w:type="nil"/>
            </w:tcMar>
            <w:vAlign w:val="bottom"/>
          </w:tcPr>
          <w:p w:rsidR="00647C25" w:rsidRDefault="00647C25">
            <w:pPr>
              <w:adjustRightInd w:val="0"/>
              <w:rPr>
                <w:rFonts w:ascii="Times" w:eastAsiaTheme="minorEastAsia" w:hAnsi="Times" w:cs="Times"/>
                <w:sz w:val="24"/>
                <w:szCs w:val="24"/>
              </w:rPr>
            </w:pPr>
          </w:p>
        </w:tc>
      </w:tr>
    </w:tbl>
    <w:p w:rsidR="00647C25" w:rsidRDefault="00647C25" w:rsidP="00647C25">
      <w:pPr>
        <w:adjustRightInd w:val="0"/>
        <w:ind w:right="-2880"/>
        <w:rPr>
          <w:rFonts w:ascii="Times" w:eastAsiaTheme="minorEastAsia" w:hAnsi="Times" w:cs="Times"/>
          <w:sz w:val="24"/>
          <w:szCs w:val="24"/>
        </w:rPr>
      </w:pPr>
      <w:r>
        <w:rPr>
          <w:rFonts w:ascii="Times" w:eastAsiaTheme="minorEastAsia" w:hAnsi="Times" w:cs="Times"/>
          <w:sz w:val="12"/>
          <w:szCs w:val="12"/>
        </w:rPr>
        <w:t> </w:t>
      </w: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(1)</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 April 2016, the Company’s Board of Directors increased the Company's share repurchase program authorization from $140 billion to $175 billion of the Company’s common stock. As of December 31, 2016 , $144 billion of the $175 billion had been utilized. The remaining $31 billion in the table represents the amount available to repurchase shares under the authorized repurchase program as of December 31, 2016 . The Company’s share repurchase program does not obligate it to acquire any specific number of shares. Under the program, shares may be repurchased in privately negotiated and/or open market transactions, including under plans complying with Rule 10b5-1 under the Exchange Act.</w:t>
            </w:r>
          </w:p>
        </w:tc>
      </w:tr>
    </w:tbl>
    <w:p w:rsidR="00647C25" w:rsidRDefault="00647C25" w:rsidP="00647C25">
      <w:pPr>
        <w:adjustRightInd w:val="0"/>
        <w:spacing w:line="6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(2)</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 August 2016, the Company entered into an accelerated share repurchase arrangement (“ASR”) to purchase up to $3.0 billion of the Company's common stock. In November 2016, the purchase period for this ASR ended and an additional 4.4 million shares were delivered and retired. In total, 26.9 million shares were delivered under this ASR at an average repurchase price of $111.73.</w:t>
            </w:r>
          </w:p>
        </w:tc>
      </w:tr>
    </w:tbl>
    <w:p w:rsidR="00647C25" w:rsidRDefault="00647C25" w:rsidP="00647C25">
      <w:pPr>
        <w:adjustRightInd w:val="0"/>
        <w:spacing w:line="6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1100"/>
        <w:gridCol w:w="10420"/>
      </w:tblGrid>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110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left="720" w:right="-2864"/>
              <w:rPr>
                <w:rFonts w:ascii="Times" w:eastAsiaTheme="minorEastAsia" w:hAnsi="Times" w:cs="Times"/>
                <w:sz w:val="24"/>
                <w:szCs w:val="24"/>
              </w:rPr>
            </w:pPr>
            <w:r>
              <w:rPr>
                <w:rFonts w:ascii="Times" w:eastAsiaTheme="minorEastAsia" w:hAnsi="Times" w:cs="Times"/>
                <w:sz w:val="16"/>
                <w:szCs w:val="16"/>
              </w:rPr>
              <w:t>(3)</w:t>
            </w:r>
          </w:p>
        </w:tc>
        <w:tc>
          <w:tcPr>
            <w:tcW w:w="104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jc w:val="both"/>
              <w:rPr>
                <w:rFonts w:ascii="Times" w:eastAsiaTheme="minorEastAsia" w:hAnsi="Times" w:cs="Times"/>
                <w:sz w:val="24"/>
                <w:szCs w:val="24"/>
              </w:rPr>
            </w:pPr>
            <w:r>
              <w:rPr>
                <w:rFonts w:ascii="Times" w:eastAsiaTheme="minorEastAsia" w:hAnsi="Times" w:cs="Times"/>
                <w:sz w:val="16"/>
                <w:szCs w:val="16"/>
              </w:rPr>
              <w:t>In November 2016, the Company entered into a new ASR to purchase up to $6.0 billion of the Company’s common stock. In exchange for an up-front payment of $6.0 billion, the financial institution party to the arrangement committed to deliver shares to the Company during the ASR’s purchase period, which will end in February 2017. The total number of shares ultimately delivered, and therefore the average price paid per share, will be determined at the end of the applicable purchase period based on the volume weighted-average price of the Company’s common stock during that period.</w:t>
            </w:r>
          </w:p>
        </w:tc>
      </w:tr>
    </w:tbl>
    <w:p w:rsidR="00647C25" w:rsidRDefault="00647C25" w:rsidP="00647C25">
      <w:pPr>
        <w:adjustRightInd w:val="0"/>
        <w:spacing w:line="60" w:lineRule="exact"/>
        <w:ind w:right="-2880"/>
        <w:rPr>
          <w:rFonts w:ascii="Times" w:eastAsiaTheme="minorEastAsia" w:hAnsi="Times" w:cs="Times"/>
          <w:sz w:val="24"/>
          <w:szCs w:val="24"/>
        </w:rPr>
      </w:pPr>
    </w:p>
    <w:tbl>
      <w:tblPr>
        <w:tblW w:w="0" w:type="auto"/>
        <w:tblBorders>
          <w:top w:val="nil"/>
          <w:left w:val="nil"/>
          <w:right w:val="nil"/>
        </w:tblBorders>
        <w:tblLayout w:type="fixed"/>
        <w:tblLook w:val="0000" w:firstRow="0" w:lastRow="0" w:firstColumn="0" w:lastColumn="0" w:noHBand="0" w:noVBand="0"/>
      </w:tblPr>
      <w:tblGrid>
        <w:gridCol w:w="920"/>
        <w:gridCol w:w="3162"/>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3162"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3.</w:t>
            </w:r>
          </w:p>
        </w:tc>
        <w:tc>
          <w:tcPr>
            <w:tcW w:w="316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Defaults Upon Senior Securities</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sz w:val="18"/>
          <w:szCs w:val="18"/>
        </w:rPr>
        <w:t>None.</w:t>
      </w:r>
    </w:p>
    <w:tbl>
      <w:tblPr>
        <w:tblW w:w="0" w:type="auto"/>
        <w:tblBorders>
          <w:top w:val="nil"/>
          <w:left w:val="nil"/>
          <w:right w:val="nil"/>
        </w:tblBorders>
        <w:tblLayout w:type="fixed"/>
        <w:tblLook w:val="0000" w:firstRow="0" w:lastRow="0" w:firstColumn="0" w:lastColumn="0" w:noHBand="0" w:noVBand="0"/>
      </w:tblPr>
      <w:tblGrid>
        <w:gridCol w:w="920"/>
        <w:gridCol w:w="2351"/>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2351"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4.</w:t>
            </w:r>
          </w:p>
        </w:tc>
        <w:tc>
          <w:tcPr>
            <w:tcW w:w="235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Mine Safety Disclosures</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sz w:val="18"/>
          <w:szCs w:val="18"/>
        </w:rPr>
        <w:t>Not applicable.</w:t>
      </w:r>
    </w:p>
    <w:tbl>
      <w:tblPr>
        <w:tblW w:w="0" w:type="auto"/>
        <w:tblBorders>
          <w:top w:val="nil"/>
          <w:left w:val="nil"/>
          <w:right w:val="nil"/>
        </w:tblBorders>
        <w:tblLayout w:type="fixed"/>
        <w:tblLook w:val="0000" w:firstRow="0" w:lastRow="0" w:firstColumn="0" w:lastColumn="0" w:noHBand="0" w:noVBand="0"/>
      </w:tblPr>
      <w:tblGrid>
        <w:gridCol w:w="920"/>
        <w:gridCol w:w="1743"/>
      </w:tblGrid>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c>
          <w:tcPr>
            <w:tcW w:w="1743"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rsidR="00647C25" w:rsidRDefault="00647C25">
            <w:pPr>
              <w:adjustRightInd w:val="0"/>
              <w:spacing w:line="1" w:lineRule="exact"/>
              <w:ind w:right="-2880"/>
              <w:rPr>
                <w:rFonts w:ascii="Times" w:eastAsiaTheme="minorEastAsia" w:hAnsi="Times" w:cs="Times"/>
                <w:sz w:val="24"/>
                <w:szCs w:val="24"/>
              </w:rPr>
            </w:pPr>
          </w:p>
        </w:tc>
      </w:tr>
      <w:tr w:rsidR="00647C25">
        <w:tblPrEx>
          <w:tblCellMar>
            <w:top w:w="0" w:type="dxa"/>
            <w:bottom w:w="0" w:type="dxa"/>
          </w:tblCellMar>
        </w:tblPrEx>
        <w:tc>
          <w:tcPr>
            <w:tcW w:w="92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Item 5.</w:t>
            </w:r>
          </w:p>
        </w:tc>
        <w:tc>
          <w:tcPr>
            <w:tcW w:w="1743" w:type="dxa"/>
            <w:tcBorders>
              <w:top w:val="single" w:sz="8" w:space="0" w:color="BFBFBF"/>
              <w:left w:val="single" w:sz="8" w:space="0" w:color="BFBFBF"/>
              <w:bottom w:val="single" w:sz="8" w:space="0" w:color="BFBFBF"/>
              <w:right w:val="single" w:sz="8" w:space="0" w:color="BFBFBF"/>
            </w:tcBorders>
            <w:tcMar>
              <w:top w:w="100" w:type="nil"/>
              <w:right w:w="100" w:type="nil"/>
            </w:tcMar>
          </w:tcPr>
          <w:p w:rsidR="00647C25" w:rsidRDefault="00647C25">
            <w:pPr>
              <w:adjustRightInd w:val="0"/>
              <w:ind w:right="-2864"/>
              <w:rPr>
                <w:rFonts w:ascii="Times" w:eastAsiaTheme="minorEastAsia" w:hAnsi="Times" w:cs="Times"/>
                <w:sz w:val="24"/>
                <w:szCs w:val="24"/>
              </w:rPr>
            </w:pPr>
            <w:r>
              <w:rPr>
                <w:rFonts w:ascii="Times" w:eastAsiaTheme="minorEastAsia" w:hAnsi="Times" w:cs="Times"/>
                <w:b/>
                <w:bCs/>
                <w:sz w:val="18"/>
                <w:szCs w:val="18"/>
              </w:rPr>
              <w:t>Other Information</w:t>
            </w:r>
          </w:p>
        </w:tc>
      </w:tr>
    </w:tbl>
    <w:p w:rsidR="00647C25" w:rsidRDefault="00647C25" w:rsidP="00647C25">
      <w:pPr>
        <w:adjustRightInd w:val="0"/>
        <w:spacing w:before="180"/>
        <w:ind w:right="-2880"/>
        <w:jc w:val="both"/>
        <w:rPr>
          <w:rFonts w:ascii="Times" w:eastAsiaTheme="minorEastAsia" w:hAnsi="Times" w:cs="Times"/>
          <w:sz w:val="24"/>
          <w:szCs w:val="24"/>
        </w:rPr>
      </w:pPr>
      <w:r>
        <w:rPr>
          <w:rFonts w:ascii="Times" w:eastAsiaTheme="minorEastAsia" w:hAnsi="Times" w:cs="Times"/>
          <w:sz w:val="18"/>
          <w:szCs w:val="18"/>
        </w:rPr>
        <w:t>None.</w:t>
      </w:r>
    </w:p>
    <w:p w:rsidR="00647C25" w:rsidRDefault="00647C25" w:rsidP="00647C25">
      <w:pPr>
        <w:adjustRightInd w:val="0"/>
        <w:ind w:right="-2880"/>
        <w:rPr>
          <w:rFonts w:ascii="Times" w:eastAsiaTheme="minorEastAsia" w:hAnsi="Times" w:cs="Times"/>
          <w:sz w:val="24"/>
          <w:szCs w:val="24"/>
        </w:rPr>
      </w:pPr>
    </w:p>
    <w:p w:rsidR="00647C25" w:rsidRDefault="00647C25" w:rsidP="00647C25">
      <w:pPr>
        <w:adjustRightInd w:val="0"/>
        <w:ind w:right="-2880"/>
        <w:jc w:val="center"/>
        <w:rPr>
          <w:rFonts w:ascii="Times" w:eastAsiaTheme="minorEastAsia" w:hAnsi="Times" w:cs="Times"/>
          <w:sz w:val="24"/>
          <w:szCs w:val="24"/>
        </w:rPr>
      </w:pPr>
      <w:r>
        <w:rPr>
          <w:rFonts w:ascii="Times" w:eastAsiaTheme="minorEastAsia" w:hAnsi="Times" w:cs="Times"/>
          <w:sz w:val="16"/>
          <w:szCs w:val="16"/>
        </w:rPr>
        <w:t>43</w:t>
      </w:r>
    </w:p>
    <w:p w:rsidR="00647C25" w:rsidRDefault="00647C25" w:rsidP="00647C25">
      <w:pPr>
        <w:adjustRightInd w:val="0"/>
        <w:spacing w:before="185" w:line="15" w:lineRule="exact"/>
        <w:ind w:left="15" w:right="-2865"/>
        <w:jc w:val="center"/>
        <w:rPr>
          <w:rFonts w:ascii="Times" w:eastAsiaTheme="minorEastAsia" w:hAnsi="Times" w:cs="Times"/>
          <w:sz w:val="24"/>
          <w:szCs w:val="24"/>
        </w:rPr>
      </w:pPr>
    </w:p>
    <w:p w:rsidR="00257A7E" w:rsidRDefault="00257A7E">
      <w:pPr>
        <w:pStyle w:val="a3"/>
        <w:rPr>
          <w:rFonts w:ascii="Times New Roman"/>
          <w:sz w:val="20"/>
        </w:rPr>
      </w:pPr>
      <w:bookmarkStart w:id="0" w:name="_GoBack"/>
      <w:bookmarkEnd w:id="0"/>
    </w:p>
    <w:sectPr w:rsidR="00257A7E" w:rsidSect="00FD5111">
      <w:headerReference w:type="even" r:id="rId10"/>
      <w:headerReference w:type="default" r:id="rId11"/>
      <w:pgSz w:w="15840" w:h="11910" w:orient="landscape"/>
      <w:pgMar w:top="0" w:right="240" w:bottom="280" w:left="7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78C" w:rsidRDefault="00F7278C">
      <w:r>
        <w:separator/>
      </w:r>
    </w:p>
  </w:endnote>
  <w:endnote w:type="continuationSeparator" w:id="0">
    <w:p w:rsidR="00F7278C" w:rsidRDefault="00F72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78C" w:rsidRDefault="00F7278C">
      <w:r>
        <w:separator/>
      </w:r>
    </w:p>
  </w:footnote>
  <w:footnote w:type="continuationSeparator" w:id="0">
    <w:p w:rsidR="00F7278C" w:rsidRDefault="00F72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7E" w:rsidRDefault="007F7276">
    <w:pPr>
      <w:pStyle w:val="a3"/>
      <w:spacing w:line="14" w:lineRule="auto"/>
      <w:rPr>
        <w:sz w:val="20"/>
      </w:rPr>
    </w:pPr>
    <w:r>
      <w:rPr>
        <w:noProof/>
      </w:rPr>
      <w:drawing>
        <wp:anchor distT="0" distB="0" distL="0" distR="0" simplePos="0" relativeHeight="268185383" behindDoc="1" locked="0" layoutInCell="1" allowOverlap="1">
          <wp:simplePos x="0" y="0"/>
          <wp:positionH relativeFrom="page">
            <wp:posOffset>6492163</wp:posOffset>
          </wp:positionH>
          <wp:positionV relativeFrom="page">
            <wp:posOffset>302653</wp:posOffset>
          </wp:positionV>
          <wp:extent cx="503999" cy="50399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503999" cy="503999"/>
                  </a:xfrm>
                  <a:prstGeom prst="rect">
                    <a:avLst/>
                  </a:prstGeom>
                </pic:spPr>
              </pic:pic>
            </a:graphicData>
          </a:graphic>
        </wp:anchor>
      </w:drawing>
    </w:r>
    <w:r w:rsidR="00F7278C">
      <w:pict>
        <v:shapetype id="_x0000_t202" coordsize="21600,21600" o:spt="202" path="m,l,21600r21600,l21600,xe">
          <v:stroke joinstyle="miter"/>
          <v:path gradientshapeok="t" o:connecttype="rect"/>
        </v:shapetype>
        <v:shape id="_x0000_s2053" type="#_x0000_t202" alt="" style="position:absolute;margin-left:44.35pt;margin-top:25.3pt;width:115.6pt;height:34.9pt;z-index:-250048;mso-wrap-style:square;mso-wrap-edited:f;mso-width-percent:0;mso-height-percent:0;mso-position-horizontal-relative:page;mso-position-vertical-relative:page;mso-width-percent:0;mso-height-percent:0;v-text-anchor:top" filled="f" stroked="f">
          <v:textbox inset="0,0,0,0">
            <w:txbxContent>
              <w:p w:rsidR="00257A7E" w:rsidRDefault="007F7276">
                <w:pPr>
                  <w:spacing w:line="174" w:lineRule="exact"/>
                  <w:ind w:left="20"/>
                  <w:rPr>
                    <w:sz w:val="16"/>
                  </w:rPr>
                </w:pPr>
                <w:r>
                  <w:rPr>
                    <w:w w:val="105"/>
                    <w:sz w:val="16"/>
                  </w:rPr>
                  <w:t>29 January 2018</w:t>
                </w:r>
              </w:p>
              <w:p w:rsidR="00257A7E" w:rsidRDefault="007F72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7A7E" w:rsidRDefault="007F7276">
    <w:pPr>
      <w:pStyle w:val="a3"/>
      <w:spacing w:line="14" w:lineRule="auto"/>
      <w:rPr>
        <w:sz w:val="20"/>
      </w:rPr>
    </w:pPr>
    <w:r>
      <w:rPr>
        <w:noProof/>
      </w:rPr>
      <w:drawing>
        <wp:anchor distT="0" distB="0" distL="0" distR="0" simplePos="0" relativeHeight="268185311"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503999" cy="503999"/>
                  </a:xfrm>
                  <a:prstGeom prst="rect">
                    <a:avLst/>
                  </a:prstGeom>
                </pic:spPr>
              </pic:pic>
            </a:graphicData>
          </a:graphic>
        </wp:anchor>
      </w:drawing>
    </w:r>
    <w:r w:rsidR="00F7278C">
      <w:pict>
        <v:group id="_x0000_s2050" alt="" style="position:absolute;margin-left:44.25pt;margin-top:73.35pt;width:333.2pt;height:15.15pt;z-index:-250120;mso-position-horizontal-relative:page;mso-position-vertical-relative:page" coordorigin="885,1467" coordsize="6664,303">
          <v:line id="_x0000_s2051" alt="" style="position:absolute" from="892,1481" to="7540,1481" strokecolor="#0098db"/>
          <v:line id="_x0000_s2052" alt="" style="position:absolute" from="900,1474" to="900,1762" strokecolor="#0098db"/>
          <w10:wrap anchorx="page" anchory="page"/>
        </v:group>
      </w:pict>
    </w:r>
    <w:r w:rsidR="00F7278C">
      <w:pict>
        <v:shapetype id="_x0000_t202" coordsize="21600,21600" o:spt="202" path="m,l,21600r21600,l21600,xe">
          <v:stroke joinstyle="miter"/>
          <v:path gradientshapeok="t" o:connecttype="rect"/>
        </v:shapetype>
        <v:shape id="_x0000_s2049" type="#_x0000_t202" alt="" style="position:absolute;margin-left:44.35pt;margin-top:22.5pt;width:115.6pt;height:34.9pt;z-index:-250096;mso-wrap-style:square;mso-wrap-edited:f;mso-width-percent:0;mso-height-percent:0;mso-position-horizontal-relative:page;mso-position-vertical-relative:page;mso-width-percent:0;mso-height-percent:0;v-text-anchor:top" filled="f" stroked="f">
          <v:textbox inset="0,0,0,0">
            <w:txbxContent>
              <w:p w:rsidR="00257A7E" w:rsidRDefault="007F7276">
                <w:pPr>
                  <w:spacing w:line="174" w:lineRule="exact"/>
                  <w:ind w:left="20"/>
                  <w:rPr>
                    <w:sz w:val="16"/>
                  </w:rPr>
                </w:pPr>
                <w:r>
                  <w:rPr>
                    <w:w w:val="105"/>
                    <w:sz w:val="16"/>
                  </w:rPr>
                  <w:t>29 January 2018</w:t>
                </w:r>
              </w:p>
              <w:p w:rsidR="00257A7E" w:rsidRDefault="007F7276">
                <w:pPr>
                  <w:spacing w:line="250" w:lineRule="atLeast"/>
                  <w:ind w:left="20" w:right="4"/>
                  <w:rPr>
                    <w:sz w:val="16"/>
                  </w:rPr>
                </w:pPr>
                <w:r>
                  <w:rPr>
                    <w:w w:val="105"/>
                    <w:sz w:val="16"/>
                  </w:rPr>
                  <w:t>IT Hardware and Supply</w:t>
                </w:r>
                <w:r>
                  <w:rPr>
                    <w:spacing w:val="-30"/>
                    <w:w w:val="105"/>
                    <w:sz w:val="16"/>
                  </w:rPr>
                  <w:t xml:space="preserve"> </w:t>
                </w:r>
                <w:r>
                  <w:rPr>
                    <w:w w:val="105"/>
                    <w:sz w:val="16"/>
                  </w:rPr>
                  <w:t>Chain Apple</w:t>
                </w:r>
                <w:r>
                  <w:rPr>
                    <w:spacing w:val="3"/>
                    <w:w w:val="105"/>
                    <w:sz w:val="16"/>
                  </w:rPr>
                  <w:t xml:space="preserve"> </w:t>
                </w:r>
                <w:r>
                  <w:rPr>
                    <w:w w:val="105"/>
                    <w:sz w:val="16"/>
                  </w:rPr>
                  <w:t>Inc.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D62F7"/>
    <w:multiLevelType w:val="hybridMultilevel"/>
    <w:tmpl w:val="C0C86434"/>
    <w:lvl w:ilvl="0" w:tplc="A1F6C986">
      <w:start w:val="6"/>
      <w:numFmt w:val="decimal"/>
      <w:lvlText w:val="%1."/>
      <w:lvlJc w:val="left"/>
      <w:pPr>
        <w:ind w:left="760" w:hanging="634"/>
        <w:jc w:val="left"/>
      </w:pPr>
      <w:rPr>
        <w:rFonts w:ascii="Arial" w:eastAsia="Arial" w:hAnsi="Arial" w:cs="Arial" w:hint="default"/>
        <w:w w:val="104"/>
        <w:sz w:val="18"/>
        <w:szCs w:val="18"/>
      </w:rPr>
    </w:lvl>
    <w:lvl w:ilvl="1" w:tplc="ABB83C66">
      <w:numFmt w:val="bullet"/>
      <w:lvlText w:val="•"/>
      <w:lvlJc w:val="left"/>
      <w:pPr>
        <w:ind w:left="1720" w:hanging="634"/>
      </w:pPr>
      <w:rPr>
        <w:rFonts w:hint="default"/>
      </w:rPr>
    </w:lvl>
    <w:lvl w:ilvl="2" w:tplc="641885F8">
      <w:numFmt w:val="bullet"/>
      <w:lvlText w:val="•"/>
      <w:lvlJc w:val="left"/>
      <w:pPr>
        <w:ind w:left="2681" w:hanging="634"/>
      </w:pPr>
      <w:rPr>
        <w:rFonts w:hint="default"/>
      </w:rPr>
    </w:lvl>
    <w:lvl w:ilvl="3" w:tplc="F4BA2BC0">
      <w:numFmt w:val="bullet"/>
      <w:lvlText w:val="•"/>
      <w:lvlJc w:val="left"/>
      <w:pPr>
        <w:ind w:left="3642" w:hanging="634"/>
      </w:pPr>
      <w:rPr>
        <w:rFonts w:hint="default"/>
      </w:rPr>
    </w:lvl>
    <w:lvl w:ilvl="4" w:tplc="F474A4DE">
      <w:numFmt w:val="bullet"/>
      <w:lvlText w:val="•"/>
      <w:lvlJc w:val="left"/>
      <w:pPr>
        <w:ind w:left="4603" w:hanging="634"/>
      </w:pPr>
      <w:rPr>
        <w:rFonts w:hint="default"/>
      </w:rPr>
    </w:lvl>
    <w:lvl w:ilvl="5" w:tplc="60C0314E">
      <w:numFmt w:val="bullet"/>
      <w:lvlText w:val="•"/>
      <w:lvlJc w:val="left"/>
      <w:pPr>
        <w:ind w:left="5564" w:hanging="634"/>
      </w:pPr>
      <w:rPr>
        <w:rFonts w:hint="default"/>
      </w:rPr>
    </w:lvl>
    <w:lvl w:ilvl="6" w:tplc="E4D090FA">
      <w:numFmt w:val="bullet"/>
      <w:lvlText w:val="•"/>
      <w:lvlJc w:val="left"/>
      <w:pPr>
        <w:ind w:left="6525" w:hanging="634"/>
      </w:pPr>
      <w:rPr>
        <w:rFonts w:hint="default"/>
      </w:rPr>
    </w:lvl>
    <w:lvl w:ilvl="7" w:tplc="4B0A31E6">
      <w:numFmt w:val="bullet"/>
      <w:lvlText w:val="•"/>
      <w:lvlJc w:val="left"/>
      <w:pPr>
        <w:ind w:left="7486" w:hanging="634"/>
      </w:pPr>
      <w:rPr>
        <w:rFonts w:hint="default"/>
      </w:rPr>
    </w:lvl>
    <w:lvl w:ilvl="8" w:tplc="A1C2156E">
      <w:numFmt w:val="bullet"/>
      <w:lvlText w:val="•"/>
      <w:lvlJc w:val="left"/>
      <w:pPr>
        <w:ind w:left="8447" w:hanging="634"/>
      </w:pPr>
      <w:rPr>
        <w:rFonts w:hint="default"/>
      </w:rPr>
    </w:lvl>
  </w:abstractNum>
  <w:abstractNum w:abstractNumId="1" w15:restartNumberingAfterBreak="0">
    <w:nsid w:val="3B2C53BF"/>
    <w:multiLevelType w:val="hybridMultilevel"/>
    <w:tmpl w:val="FED0375C"/>
    <w:lvl w:ilvl="0" w:tplc="111A5B94">
      <w:start w:val="1"/>
      <w:numFmt w:val="decimal"/>
      <w:lvlText w:val="%1."/>
      <w:lvlJc w:val="left"/>
      <w:pPr>
        <w:ind w:left="760" w:hanging="634"/>
        <w:jc w:val="left"/>
      </w:pPr>
      <w:rPr>
        <w:rFonts w:ascii="Arial" w:eastAsia="Arial" w:hAnsi="Arial" w:cs="Arial" w:hint="default"/>
        <w:w w:val="104"/>
        <w:sz w:val="18"/>
        <w:szCs w:val="18"/>
      </w:rPr>
    </w:lvl>
    <w:lvl w:ilvl="1" w:tplc="9DB0FEEC">
      <w:numFmt w:val="bullet"/>
      <w:lvlText w:val="•"/>
      <w:lvlJc w:val="left"/>
      <w:pPr>
        <w:ind w:left="1720" w:hanging="634"/>
      </w:pPr>
      <w:rPr>
        <w:rFonts w:hint="default"/>
      </w:rPr>
    </w:lvl>
    <w:lvl w:ilvl="2" w:tplc="4EDE0792">
      <w:numFmt w:val="bullet"/>
      <w:lvlText w:val="•"/>
      <w:lvlJc w:val="left"/>
      <w:pPr>
        <w:ind w:left="2681" w:hanging="634"/>
      </w:pPr>
      <w:rPr>
        <w:rFonts w:hint="default"/>
      </w:rPr>
    </w:lvl>
    <w:lvl w:ilvl="3" w:tplc="EC8E905A">
      <w:numFmt w:val="bullet"/>
      <w:lvlText w:val="•"/>
      <w:lvlJc w:val="left"/>
      <w:pPr>
        <w:ind w:left="3642" w:hanging="634"/>
      </w:pPr>
      <w:rPr>
        <w:rFonts w:hint="default"/>
      </w:rPr>
    </w:lvl>
    <w:lvl w:ilvl="4" w:tplc="3730734E">
      <w:numFmt w:val="bullet"/>
      <w:lvlText w:val="•"/>
      <w:lvlJc w:val="left"/>
      <w:pPr>
        <w:ind w:left="4603" w:hanging="634"/>
      </w:pPr>
      <w:rPr>
        <w:rFonts w:hint="default"/>
      </w:rPr>
    </w:lvl>
    <w:lvl w:ilvl="5" w:tplc="D0CE017A">
      <w:numFmt w:val="bullet"/>
      <w:lvlText w:val="•"/>
      <w:lvlJc w:val="left"/>
      <w:pPr>
        <w:ind w:left="5564" w:hanging="634"/>
      </w:pPr>
      <w:rPr>
        <w:rFonts w:hint="default"/>
      </w:rPr>
    </w:lvl>
    <w:lvl w:ilvl="6" w:tplc="FDF67318">
      <w:numFmt w:val="bullet"/>
      <w:lvlText w:val="•"/>
      <w:lvlJc w:val="left"/>
      <w:pPr>
        <w:ind w:left="6525" w:hanging="634"/>
      </w:pPr>
      <w:rPr>
        <w:rFonts w:hint="default"/>
      </w:rPr>
    </w:lvl>
    <w:lvl w:ilvl="7" w:tplc="C1789E54">
      <w:numFmt w:val="bullet"/>
      <w:lvlText w:val="•"/>
      <w:lvlJc w:val="left"/>
      <w:pPr>
        <w:ind w:left="7486" w:hanging="634"/>
      </w:pPr>
      <w:rPr>
        <w:rFonts w:hint="default"/>
      </w:rPr>
    </w:lvl>
    <w:lvl w:ilvl="8" w:tplc="A0BE3D9C">
      <w:numFmt w:val="bullet"/>
      <w:lvlText w:val="•"/>
      <w:lvlJc w:val="left"/>
      <w:pPr>
        <w:ind w:left="8447" w:hanging="634"/>
      </w:pPr>
      <w:rPr>
        <w:rFonts w:hint="default"/>
      </w:rPr>
    </w:lvl>
  </w:abstractNum>
  <w:abstractNum w:abstractNumId="2" w15:restartNumberingAfterBreak="0">
    <w:nsid w:val="433622D2"/>
    <w:multiLevelType w:val="hybridMultilevel"/>
    <w:tmpl w:val="F83E1FF2"/>
    <w:lvl w:ilvl="0" w:tplc="E57AFB36">
      <w:start w:val="1"/>
      <w:numFmt w:val="decimal"/>
      <w:lvlText w:val="%1."/>
      <w:lvlJc w:val="left"/>
      <w:pPr>
        <w:ind w:left="760" w:hanging="634"/>
        <w:jc w:val="left"/>
      </w:pPr>
      <w:rPr>
        <w:rFonts w:ascii="Arial" w:eastAsia="Arial" w:hAnsi="Arial" w:cs="Arial" w:hint="default"/>
        <w:w w:val="104"/>
        <w:sz w:val="18"/>
        <w:szCs w:val="18"/>
      </w:rPr>
    </w:lvl>
    <w:lvl w:ilvl="1" w:tplc="014C004A">
      <w:numFmt w:val="bullet"/>
      <w:lvlText w:val="•"/>
      <w:lvlJc w:val="left"/>
      <w:pPr>
        <w:ind w:left="1720" w:hanging="634"/>
      </w:pPr>
      <w:rPr>
        <w:rFonts w:hint="default"/>
      </w:rPr>
    </w:lvl>
    <w:lvl w:ilvl="2" w:tplc="871005BE">
      <w:numFmt w:val="bullet"/>
      <w:lvlText w:val="•"/>
      <w:lvlJc w:val="left"/>
      <w:pPr>
        <w:ind w:left="2681" w:hanging="634"/>
      </w:pPr>
      <w:rPr>
        <w:rFonts w:hint="default"/>
      </w:rPr>
    </w:lvl>
    <w:lvl w:ilvl="3" w:tplc="87D21C8A">
      <w:numFmt w:val="bullet"/>
      <w:lvlText w:val="•"/>
      <w:lvlJc w:val="left"/>
      <w:pPr>
        <w:ind w:left="3642" w:hanging="634"/>
      </w:pPr>
      <w:rPr>
        <w:rFonts w:hint="default"/>
      </w:rPr>
    </w:lvl>
    <w:lvl w:ilvl="4" w:tplc="4BD81718">
      <w:numFmt w:val="bullet"/>
      <w:lvlText w:val="•"/>
      <w:lvlJc w:val="left"/>
      <w:pPr>
        <w:ind w:left="4603" w:hanging="634"/>
      </w:pPr>
      <w:rPr>
        <w:rFonts w:hint="default"/>
      </w:rPr>
    </w:lvl>
    <w:lvl w:ilvl="5" w:tplc="59BCF180">
      <w:numFmt w:val="bullet"/>
      <w:lvlText w:val="•"/>
      <w:lvlJc w:val="left"/>
      <w:pPr>
        <w:ind w:left="5564" w:hanging="634"/>
      </w:pPr>
      <w:rPr>
        <w:rFonts w:hint="default"/>
      </w:rPr>
    </w:lvl>
    <w:lvl w:ilvl="6" w:tplc="5D1EB500">
      <w:numFmt w:val="bullet"/>
      <w:lvlText w:val="•"/>
      <w:lvlJc w:val="left"/>
      <w:pPr>
        <w:ind w:left="6525" w:hanging="634"/>
      </w:pPr>
      <w:rPr>
        <w:rFonts w:hint="default"/>
      </w:rPr>
    </w:lvl>
    <w:lvl w:ilvl="7" w:tplc="7212B966">
      <w:numFmt w:val="bullet"/>
      <w:lvlText w:val="•"/>
      <w:lvlJc w:val="left"/>
      <w:pPr>
        <w:ind w:left="7486" w:hanging="634"/>
      </w:pPr>
      <w:rPr>
        <w:rFonts w:hint="default"/>
      </w:rPr>
    </w:lvl>
    <w:lvl w:ilvl="8" w:tplc="14D0D938">
      <w:numFmt w:val="bullet"/>
      <w:lvlText w:val="•"/>
      <w:lvlJc w:val="left"/>
      <w:pPr>
        <w:ind w:left="8447" w:hanging="634"/>
      </w:pPr>
      <w:rPr>
        <w:rFonts w:hint="default"/>
      </w:rPr>
    </w:lvl>
  </w:abstractNum>
  <w:abstractNum w:abstractNumId="3" w15:restartNumberingAfterBreak="0">
    <w:nsid w:val="4D6737E6"/>
    <w:multiLevelType w:val="hybridMultilevel"/>
    <w:tmpl w:val="7F6232EA"/>
    <w:lvl w:ilvl="0" w:tplc="C3AC430A">
      <w:start w:val="6"/>
      <w:numFmt w:val="decimal"/>
      <w:lvlText w:val="%1."/>
      <w:lvlJc w:val="left"/>
      <w:pPr>
        <w:ind w:left="760" w:hanging="634"/>
        <w:jc w:val="left"/>
      </w:pPr>
      <w:rPr>
        <w:rFonts w:ascii="Arial" w:eastAsia="Arial" w:hAnsi="Arial" w:cs="Arial" w:hint="default"/>
        <w:w w:val="104"/>
        <w:sz w:val="18"/>
        <w:szCs w:val="18"/>
      </w:rPr>
    </w:lvl>
    <w:lvl w:ilvl="1" w:tplc="3F889ACC">
      <w:numFmt w:val="bullet"/>
      <w:lvlText w:val="•"/>
      <w:lvlJc w:val="left"/>
      <w:pPr>
        <w:ind w:left="1720" w:hanging="634"/>
      </w:pPr>
      <w:rPr>
        <w:rFonts w:hint="default"/>
      </w:rPr>
    </w:lvl>
    <w:lvl w:ilvl="2" w:tplc="0DD2AFC2">
      <w:numFmt w:val="bullet"/>
      <w:lvlText w:val="•"/>
      <w:lvlJc w:val="left"/>
      <w:pPr>
        <w:ind w:left="2681" w:hanging="634"/>
      </w:pPr>
      <w:rPr>
        <w:rFonts w:hint="default"/>
      </w:rPr>
    </w:lvl>
    <w:lvl w:ilvl="3" w:tplc="15BAFC7C">
      <w:numFmt w:val="bullet"/>
      <w:lvlText w:val="•"/>
      <w:lvlJc w:val="left"/>
      <w:pPr>
        <w:ind w:left="3642" w:hanging="634"/>
      </w:pPr>
      <w:rPr>
        <w:rFonts w:hint="default"/>
      </w:rPr>
    </w:lvl>
    <w:lvl w:ilvl="4" w:tplc="D0AC0A02">
      <w:numFmt w:val="bullet"/>
      <w:lvlText w:val="•"/>
      <w:lvlJc w:val="left"/>
      <w:pPr>
        <w:ind w:left="4603" w:hanging="634"/>
      </w:pPr>
      <w:rPr>
        <w:rFonts w:hint="default"/>
      </w:rPr>
    </w:lvl>
    <w:lvl w:ilvl="5" w:tplc="62E8E7CE">
      <w:numFmt w:val="bullet"/>
      <w:lvlText w:val="•"/>
      <w:lvlJc w:val="left"/>
      <w:pPr>
        <w:ind w:left="5564" w:hanging="634"/>
      </w:pPr>
      <w:rPr>
        <w:rFonts w:hint="default"/>
      </w:rPr>
    </w:lvl>
    <w:lvl w:ilvl="6" w:tplc="7ADCECEC">
      <w:numFmt w:val="bullet"/>
      <w:lvlText w:val="•"/>
      <w:lvlJc w:val="left"/>
      <w:pPr>
        <w:ind w:left="6525" w:hanging="634"/>
      </w:pPr>
      <w:rPr>
        <w:rFonts w:hint="default"/>
      </w:rPr>
    </w:lvl>
    <w:lvl w:ilvl="7" w:tplc="D4600EB6">
      <w:numFmt w:val="bullet"/>
      <w:lvlText w:val="•"/>
      <w:lvlJc w:val="left"/>
      <w:pPr>
        <w:ind w:left="7486" w:hanging="634"/>
      </w:pPr>
      <w:rPr>
        <w:rFonts w:hint="default"/>
      </w:rPr>
    </w:lvl>
    <w:lvl w:ilvl="8" w:tplc="C590C830">
      <w:numFmt w:val="bullet"/>
      <w:lvlText w:val="•"/>
      <w:lvlJc w:val="left"/>
      <w:pPr>
        <w:ind w:left="8447" w:hanging="634"/>
      </w:pPr>
      <w:rPr>
        <w:rFonts w:hint="default"/>
      </w:rPr>
    </w:lvl>
  </w:abstractNum>
  <w:abstractNum w:abstractNumId="4" w15:restartNumberingAfterBreak="0">
    <w:nsid w:val="6A1F7BEE"/>
    <w:multiLevelType w:val="hybridMultilevel"/>
    <w:tmpl w:val="774CF9A2"/>
    <w:lvl w:ilvl="0" w:tplc="7C94DE5E">
      <w:start w:val="14"/>
      <w:numFmt w:val="decimal"/>
      <w:lvlText w:val="%1."/>
      <w:lvlJc w:val="left"/>
      <w:pPr>
        <w:ind w:left="760" w:hanging="634"/>
        <w:jc w:val="left"/>
      </w:pPr>
      <w:rPr>
        <w:rFonts w:ascii="Arial" w:eastAsia="Arial" w:hAnsi="Arial" w:cs="Arial" w:hint="default"/>
        <w:w w:val="104"/>
        <w:sz w:val="18"/>
        <w:szCs w:val="18"/>
      </w:rPr>
    </w:lvl>
    <w:lvl w:ilvl="1" w:tplc="7408C3E6">
      <w:numFmt w:val="bullet"/>
      <w:lvlText w:val="•"/>
      <w:lvlJc w:val="left"/>
      <w:pPr>
        <w:ind w:left="1720" w:hanging="634"/>
      </w:pPr>
      <w:rPr>
        <w:rFonts w:hint="default"/>
      </w:rPr>
    </w:lvl>
    <w:lvl w:ilvl="2" w:tplc="E6087028">
      <w:numFmt w:val="bullet"/>
      <w:lvlText w:val="•"/>
      <w:lvlJc w:val="left"/>
      <w:pPr>
        <w:ind w:left="2681" w:hanging="634"/>
      </w:pPr>
      <w:rPr>
        <w:rFonts w:hint="default"/>
      </w:rPr>
    </w:lvl>
    <w:lvl w:ilvl="3" w:tplc="1ADEF700">
      <w:numFmt w:val="bullet"/>
      <w:lvlText w:val="•"/>
      <w:lvlJc w:val="left"/>
      <w:pPr>
        <w:ind w:left="3642" w:hanging="634"/>
      </w:pPr>
      <w:rPr>
        <w:rFonts w:hint="default"/>
      </w:rPr>
    </w:lvl>
    <w:lvl w:ilvl="4" w:tplc="79180A9C">
      <w:numFmt w:val="bullet"/>
      <w:lvlText w:val="•"/>
      <w:lvlJc w:val="left"/>
      <w:pPr>
        <w:ind w:left="4603" w:hanging="634"/>
      </w:pPr>
      <w:rPr>
        <w:rFonts w:hint="default"/>
      </w:rPr>
    </w:lvl>
    <w:lvl w:ilvl="5" w:tplc="685AB816">
      <w:numFmt w:val="bullet"/>
      <w:lvlText w:val="•"/>
      <w:lvlJc w:val="left"/>
      <w:pPr>
        <w:ind w:left="5564" w:hanging="634"/>
      </w:pPr>
      <w:rPr>
        <w:rFonts w:hint="default"/>
      </w:rPr>
    </w:lvl>
    <w:lvl w:ilvl="6" w:tplc="AA74D6A8">
      <w:numFmt w:val="bullet"/>
      <w:lvlText w:val="•"/>
      <w:lvlJc w:val="left"/>
      <w:pPr>
        <w:ind w:left="6525" w:hanging="634"/>
      </w:pPr>
      <w:rPr>
        <w:rFonts w:hint="default"/>
      </w:rPr>
    </w:lvl>
    <w:lvl w:ilvl="7" w:tplc="759C76AC">
      <w:numFmt w:val="bullet"/>
      <w:lvlText w:val="•"/>
      <w:lvlJc w:val="left"/>
      <w:pPr>
        <w:ind w:left="7486" w:hanging="634"/>
      </w:pPr>
      <w:rPr>
        <w:rFonts w:hint="default"/>
      </w:rPr>
    </w:lvl>
    <w:lvl w:ilvl="8" w:tplc="20E0A9F2">
      <w:numFmt w:val="bullet"/>
      <w:lvlText w:val="•"/>
      <w:lvlJc w:val="left"/>
      <w:pPr>
        <w:ind w:left="8447" w:hanging="634"/>
      </w:pPr>
      <w:rPr>
        <w:rFont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257A7E"/>
    <w:rsid w:val="00257A7E"/>
    <w:rsid w:val="00647C25"/>
    <w:rsid w:val="007F7276"/>
    <w:rsid w:val="00F7278C"/>
    <w:rsid w:val="00FD5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EBD0955"/>
  <w15:docId w15:val="{B7B13BC8-4660-4DE6-AE9B-63466C2C5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12"/>
      <w:ind w:left="127"/>
      <w:outlineLvl w:val="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8"/>
      <w:szCs w:val="18"/>
    </w:rPr>
  </w:style>
  <w:style w:type="paragraph" w:styleId="a4">
    <w:name w:val="List Paragraph"/>
    <w:basedOn w:val="a"/>
    <w:uiPriority w:val="1"/>
    <w:qFormat/>
    <w:pPr>
      <w:spacing w:before="60"/>
      <w:ind w:left="760" w:hanging="633"/>
    </w:pPr>
  </w:style>
  <w:style w:type="paragraph" w:customStyle="1" w:styleId="TableParagraph">
    <w:name w:val="Table Paragraph"/>
    <w:basedOn w:val="a"/>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D81876-52A3-4828-BCF4-D199B6AD1B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DBBD99-0509-44DB-A784-4695A8FA1CDF}">
  <ds:schemaRefs>
    <ds:schemaRef ds:uri="http://schemas.microsoft.com/sharepoint/v3/contenttype/forms"/>
  </ds:schemaRefs>
</ds:datastoreItem>
</file>

<file path=customXml/itemProps3.xml><?xml version="1.0" encoding="utf-8"?>
<ds:datastoreItem xmlns:ds="http://schemas.openxmlformats.org/officeDocument/2006/customXml" ds:itemID="{1181B185-4F24-40ED-98B8-663DF2744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d277f-0f19-4643-bc14-66cc8dc526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23571</Words>
  <Characters>134359</Characters>
  <Application>Microsoft Office Word</Application>
  <DocSecurity>0</DocSecurity>
  <Lines>1119</Lines>
  <Paragraphs>315</Paragraphs>
  <ScaleCrop>false</ScaleCrop>
  <Company>Washington University</Company>
  <LinksUpToDate>false</LinksUpToDate>
  <CharactersWithSpaces>157615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Microsoft Office User</cp:lastModifiedBy>
  <cp:revision>4</cp:revision>
  <dcterms:created xsi:type="dcterms:W3CDTF">2019-04-26T11:49:00Z</dcterms:created>
  <dcterms:modified xsi:type="dcterms:W3CDTF">2019-12-09T11:32:00Z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2018-01-29T00:00:00Z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