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QianLieAnHui: development and benchmark validation of a hybrid rule-engine, knowledge-graph, and LLM-arbitration decision-support agent for the prostate biopsy pathway, against the ProBIOPSY international consensus</w:t>
      </w:r>
    </w:p>
    <w:p>
      <w:r>
        <w:rPr>
          <w:rFonts w:ascii="Times New Roman" w:hAnsi="Times New Roman"/>
          <w:b/>
          <w:i w:val="0"/>
        </w:rPr>
        <w:t>Running title:</w:t>
      </w:r>
      <w:r>
        <w:rPr>
          <w:rFonts w:ascii="Times New Roman" w:hAnsi="Times New Roman"/>
          <w:b w:val="0"/>
          <w:i w:val="0"/>
        </w:rPr>
        <w:t xml:space="preserve"> A hybrid rule engine–knowledge graph–LLM agent for prostate biopsy decisions</w:t>
      </w:r>
    </w:p>
    <w:p>
      <w:r>
        <w:rPr>
          <w:rFonts w:ascii="Times New Roman" w:hAnsi="Times New Roman"/>
          <w:b w:val="0"/>
          <w:i w:val="0"/>
        </w:rPr>
        <w:t>XU Zekun</w:t>
      </w:r>
      <w:r>
        <w:rPr>
          <w:rFonts w:ascii="Times New Roman" w:hAnsi="Times New Roman"/>
          <w:b w:val="0"/>
          <w:i w:val="0"/>
          <w:vertAlign w:val="superscript"/>
        </w:rPr>
        <w:t>1,*</w:t>
      </w:r>
    </w:p>
    <w:p>
      <w:r>
        <w:rPr>
          <w:rFonts w:ascii="Times New Roman" w:hAnsi="Times New Roman"/>
          <w:b w:val="0"/>
          <w:i w:val="0"/>
          <w:vertAlign w:val="superscript"/>
        </w:rPr>
        <w:t>1</w:t>
      </w:r>
      <w:r>
        <w:rPr>
          <w:rFonts w:ascii="Times New Roman" w:hAnsi="Times New Roman"/>
          <w:b w:val="0"/>
          <w:i w:val="0"/>
        </w:rPr>
        <w:t xml:space="preserve"> Department of Urology, Affiliated Jinhua Hospital, Zhejiang University School of Medicine.</w:t>
      </w:r>
    </w:p>
    <w:p>
      <w:r>
        <w:rPr>
          <w:rFonts w:ascii="Times New Roman" w:hAnsi="Times New Roman"/>
          <w:b w:val="0"/>
          <w:i w:val="0"/>
          <w:vertAlign w:val="superscript"/>
        </w:rPr>
        <w:t>*</w:t>
      </w:r>
      <w:r>
        <w:rPr>
          <w:rFonts w:ascii="Times New Roman" w:hAnsi="Times New Roman"/>
          <w:b w:val="0"/>
          <w:i w:val="0"/>
        </w:rPr>
        <w:t xml:space="preserve"> Corresponding author: xuzekunurology@163.com</w:t>
      </w:r>
    </w:p>
    <w:p>
      <w:r>
        <w:rPr>
          <w:rFonts w:ascii="Times New Roman" w:hAnsi="Times New Roman"/>
          <w:b/>
          <w:i w:val="0"/>
        </w:rPr>
        <w:t>Keywords:</w:t>
      </w:r>
      <w:r>
        <w:rPr>
          <w:rFonts w:ascii="Times New Roman" w:hAnsi="Times New Roman"/>
          <w:b w:val="0"/>
          <w:i w:val="0"/>
        </w:rPr>
        <w:t xml:space="preserve"> prostate cancer; prostate biopsy; clinical decision support; LLM agent; knowledge graph; LightRAG; retrieval-augmented generation; large language models; ProBIOPSY</w:t>
      </w:r>
    </w:p>
    <w:p>
      <w:r>
        <w:rPr>
          <w:rFonts w:ascii="Times New Roman" w:hAnsi="Times New Roman"/>
          <w:b/>
          <w:i w:val="0"/>
        </w:rPr>
        <w:t>Word count:</w:t>
      </w:r>
      <w:r>
        <w:rPr>
          <w:rFonts w:ascii="Times New Roman" w:hAnsi="Times New Roman"/>
          <w:b w:val="0"/>
          <w:i w:val="0"/>
        </w:rPr>
        <w:t xml:space="preserve"> abstract 249 / main text ~3,300 (excl. tables, legends, references)</w:t>
      </w:r>
    </w:p>
    <w:p>
      <w:r>
        <w:rPr>
          <w:rFonts w:ascii="Times New Roman" w:hAnsi="Times New Roman"/>
          <w:b w:val="0"/>
          <w:i w:val="0"/>
        </w:rPr>
        <w:t>---</w:t>
      </w:r>
    </w:p>
    <w:p>
      <w:pPr>
        <w:pStyle w:val="Heading1"/>
      </w:pPr>
      <w:r>
        <w:rPr>
          <w:rFonts w:ascii="Times New Roman" w:hAnsi="Times New Roman"/>
          <w:b w:val="0"/>
          <w:i w:val="0"/>
        </w:rPr>
        <w:t>Abstract</w:t>
      </w:r>
    </w:p>
    <w:p>
      <w:r>
        <w:rPr>
          <w:rFonts w:ascii="Times New Roman" w:hAnsi="Times New Roman"/>
          <w:b/>
          <w:i w:val="0"/>
        </w:rPr>
        <w:t>Background:</w:t>
      </w:r>
      <w:r>
        <w:rPr>
          <w:rFonts w:ascii="Times New Roman" w:hAnsi="Times New Roman"/>
          <w:b w:val="0"/>
          <w:i w:val="0"/>
        </w:rPr>
        <w:t xml:space="preserve"> Prostate biopsy is the gateway to every treatment decision in prostate cancer, yet the procedure remains poorly standardised: whom to biopsy, how, under which scheme and route varies widely between institutions. The stakes are asymmetric: under-biopsy misses clinically significant cancer, over-biopsy harms men with indolent disease, one strategy may not inform every treatment plan, and decisions diverge with the operator. The ProBIOPSY consensus codified this pathway into 112 statements, but a written consensus cannot be executed at the decision point. We asked whether it could be executed: a checklist stored in a computer, callable when needed, auditable afterwards.</w:t>
      </w:r>
    </w:p>
    <w:p>
      <w:r>
        <w:rPr>
          <w:rFonts w:ascii="Times New Roman" w:hAnsi="Times New Roman"/>
          <w:b/>
          <w:i w:val="0"/>
        </w:rPr>
        <w:t>Methods:</w:t>
      </w:r>
      <w:r>
        <w:rPr>
          <w:rFonts w:ascii="Times New Roman" w:hAnsi="Times New Roman"/>
          <w:b w:val="0"/>
          <w:i w:val="0"/>
        </w:rPr>
        <w:t xml:space="preserve"> Because large language models (LLMs) hallucinate and lack traceability, and retrieval-augmented generation (RAG) grounds answers but cannot forbid them, we developed QianLieAnHui — a three-layer agent executing the consensus as a checklist: (1) a deterministic rule engine (16 rules, cross-checked against EAU/AUA guidelines) emitting hard constraints; (2) retrieval over a LightRAG knowledge graph (357 chunks); (3) an LLM arbiter emitting one of five executable actions with statement-level citations. Benchmark: 2,240 runs (four architectures × five seeds × 112 statements, generator fixed).</w:t>
      </w:r>
    </w:p>
    <w:p>
      <w:r>
        <w:rPr>
          <w:rFonts w:ascii="Times New Roman" w:hAnsi="Times New Roman"/>
          <w:b/>
          <w:i w:val="0"/>
        </w:rPr>
        <w:t>Results:</w:t>
      </w:r>
      <w:r>
        <w:rPr>
          <w:rFonts w:ascii="Times New Roman" w:hAnsi="Times New Roman"/>
          <w:b w:val="0"/>
          <w:i w:val="0"/>
        </w:rPr>
        <w:t xml:space="preserve"> The agent achieved exact-5 accuracy 0.805±0.012, Cohen's κ 0.730±0.016, and against-class F1 0.908±0.023 — versus 0.613 for the strongest baseline — while retrieval baselines emitted the nuanced conditional class in 0.8% of runs (agent 17.0%); flagship generators did not rescue naive RAG (0.605→0.538).</w:t>
      </w:r>
    </w:p>
    <w:p>
      <w:r>
        <w:rPr>
          <w:rFonts w:ascii="Times New Roman" w:hAnsi="Times New Roman"/>
          <w:b/>
          <w:i w:val="0"/>
        </w:rPr>
        <w:t>Conclusions:</w:t>
      </w:r>
      <w:r>
        <w:rPr>
          <w:rFonts w:ascii="Times New Roman" w:hAnsi="Times New Roman"/>
          <w:b w:val="0"/>
          <w:i w:val="0"/>
        </w:rPr>
        <w:t xml:space="preserve"> Architecture, not generator tier, was the dominant lever: every output traces to numbered statements, turning a written consensus into standardised, auditable practice.</w:t>
      </w:r>
    </w:p>
    <w:p>
      <w:r>
        <w:rPr>
          <w:rFonts w:ascii="Times New Roman" w:hAnsi="Times New Roman"/>
          <w:b w:val="0"/>
          <w:i w:val="0"/>
        </w:rPr>
        <w:t>---</w:t>
      </w:r>
    </w:p>
    <w:p>
      <w:pPr>
        <w:pStyle w:val="Heading1"/>
      </w:pPr>
      <w:r>
        <w:rPr>
          <w:rFonts w:ascii="Times New Roman" w:hAnsi="Times New Roman"/>
          <w:b w:val="0"/>
          <w:i w:val="0"/>
        </w:rPr>
        <w:t>Introduction</w:t>
      </w:r>
    </w:p>
    <w:p>
      <w:r>
        <w:rPr>
          <w:rFonts w:ascii="Times New Roman" w:hAnsi="Times New Roman"/>
          <w:b w:val="0"/>
          <w:i w:val="0"/>
        </w:rPr>
        <w:t>Biopsy is the gateway to every treatment decision in prostate cancer. The disease is among the most common malignancies in men [1,2]; population-level PSA screening lowers disease-specific mortality [3]; and what the biopsy finds — grade group, tumour burden, distribution — determines whether a man is monitored, offered focal therapy, or scheduled for radical treatment. Yet the procedure that feeds these decisions is far from standardised. Whether systematic cores should be added to MRI-targeted cores [4], which saturation scheme to use [5], transperineal versus transrectal access [6,7], and targeted versus empirical prophylaxis [8] remain live questions — as does whether MRI-targeted sampling, which demonstrably improves clinically significant cancer detection [9-12], can inform every treatment option at all. Biopsy-to-prostatectomy grade discordance complicates downstream planning [13]; the measurements the pathway leans on are themselves imperfect — mpMRI misses clinically significant cancer in a minority of men [14], PI-RADS reading agreement [15,16] and image-quality gating [17] are variable, and PSA-density thresholds [18] temper but do not settle the decision; and every configuration carries the procedure's well-characterised complication burden [19,20]. The ProBIOPSY consensus documented substantial international practice variation across exactly these choices [21].</w:t>
      </w:r>
    </w:p>
    <w:p>
      <w:r>
        <w:rPr>
          <w:rFonts w:ascii="Times New Roman" w:hAnsi="Times New Roman"/>
          <w:b w:val="0"/>
          <w:i w:val="0"/>
        </w:rPr>
        <w:t xml:space="preserve">Written guidance has not closed these gaps. The EAU Prostate Cancer Guidelines [22], the AUA/ASTRO Clinically Localized Prostate Cancer Guideline [23] with its 2026 Amendment [24], and the ProBIOPSY consensus [21] converge on the same decision points, yet practice varies — because a guideline is reference material, not an instrument: at the decision point the clinician must assemble 51 patient-scenario archetypes × 54 biopsy decisions, each combination carrying its own evidence, and no lookup table covers the combinatorics. Software attempts fall short in complementary ways. Rule-based clinical decision support is deterministic but slow to update [25], breeds alert fatigue [26], and cannot digest natural-language evidence [27]. Large language models (LLMs) supply the missing linguistic flexibility [28,29] and approach expert performance on medical question answering [30,31], but they hallucinate and lack verifiable provenance [32], drift from guidelines as they age [33], and give confidently generic advice where patient-specific context changes the answer: asked whether a 70-year-old man with locally advanced disease should undergo extended systematic sampling, a general-purpose LLM may endorse the standard extended scheme, whereas the consensus for suspected locally advanced disease actually recommends reducing systematic biopsy to a maximum of six cores, and — despite a rapidly growing family of domain agents for atrial-fibrillation self-management [34], hypertension management [35], prostate-cancer education [36], TCM dietary recommendations grounded in an uncertain knowledge graph [37], and gene-set analysis [38] — no existing agent is benchmarked against a statement-level guideline gold standard, and all rely on prompt-level rather than binding safeguards. Retrieval-augmented generation (RAG) grounds generation in an external corpus [39] and medical RAG benchmarks show promise [40], but retrieval alone has no mechanism to </w:t>
      </w:r>
      <w:r>
        <w:rPr>
          <w:rFonts w:ascii="Times New Roman" w:hAnsi="Times New Roman"/>
          <w:b w:val="0"/>
          <w:i/>
        </w:rPr>
        <w:t>forbid</w:t>
      </w:r>
      <w:r>
        <w:rPr>
          <w:rFonts w:ascii="Times New Roman" w:hAnsi="Times New Roman"/>
          <w:b w:val="0"/>
          <w:i w:val="0"/>
        </w:rPr>
        <w:t xml:space="preserve"> a fluent recommendation that contradicts the guideline.</w:t>
      </w:r>
    </w:p>
    <w:p>
      <w:r>
        <w:rPr>
          <w:rFonts w:ascii="Times New Roman" w:hAnsi="Times New Roman"/>
          <w:b w:val="0"/>
          <w:i w:val="0"/>
        </w:rPr>
        <w:t xml:space="preserve">QianLieAnHui is that checklist realised as an agent; its three layers map one-to-one onto the failure modes above. A deterministic rule engine can mechanically veto non-compliant outputs; knowledge-graph retrieval can expose a traceable evidence chain; an LLM arbiter can supply linguistic flexibility. Patient-factor escalation rules turn contextual safety guidance (route, prophylaxis intensity, scheme simplification) into deterministic hard constraints rather than prompt-level exhortations; MRI-quality and reader-variability caveats are represented as explicit scenario flags that both gate rules and boost retrieval; grade-group-driven treatment-planning statements anchor the largest statement domain; and the knowledge base's version integrity is machine-verified rather than assumed. Chained as </w:t>
      </w:r>
      <w:r>
        <w:rPr>
          <w:rFonts w:ascii="Times New Roman" w:hAnsi="Times New Roman"/>
          <w:b w:val="0"/>
          <w:i/>
        </w:rPr>
        <w:t>rule gate → graph evidence → LLM arbitration</w:t>
      </w:r>
      <w:r>
        <w:rPr>
          <w:rFonts w:ascii="Times New Roman" w:hAnsi="Times New Roman"/>
          <w:b w:val="0"/>
          <w:i w:val="0"/>
        </w:rPr>
        <w:t xml:space="preserve"> — an integration consistent with emerging roadmaps for unifying large language models and knowledge graphs [41] — each layer covers the others' failure modes while preserving a complete audit trail from every output back to numbered consensus statements and evidence chunks. At the retrieval layer we adopt LightRAG [42], a graph-based dual-level retrieval framework that outperforms Microsoft GraphRAG [43] on domain question answering at a fraction of the token cost.</w:t>
      </w:r>
    </w:p>
    <w:p>
      <w:r>
        <w:rPr>
          <w:rFonts w:ascii="Times New Roman" w:hAnsi="Times New Roman"/>
          <w:b w:val="0"/>
          <w:i w:val="0"/>
        </w:rPr>
        <w:t>We developed and validated QianLieAnHui (前列安汇; "probiopsy-rag"), a hybrid decision-support system for the prostate biopsy pathway, and quantified each architectural layer's contribution with a multi-method, multi-seed benchmark against the 112 ProBIOPSY final statements. Our contributions are:</w:t>
      </w:r>
    </w:p>
    <w:p>
      <w:r>
        <w:rPr>
          <w:rFonts w:ascii="Times New Roman" w:hAnsi="Times New Roman"/>
          <w:b w:val="0"/>
          <w:i w:val="0"/>
        </w:rPr>
        <w:t xml:space="preserve">1. </w:t>
      </w:r>
      <w:r>
        <w:rPr>
          <w:rFonts w:ascii="Times New Roman" w:hAnsi="Times New Roman"/>
          <w:b/>
          <w:i w:val="0"/>
        </w:rPr>
        <w:t>Architecture.</w:t>
      </w:r>
      <w:r>
        <w:rPr>
          <w:rFonts w:ascii="Times New Roman" w:hAnsi="Times New Roman"/>
          <w:b w:val="0"/>
          <w:i w:val="0"/>
        </w:rPr>
        <w:t xml:space="preserve"> To our knowledge the first biopsy-pathway decision-support agent — a machine-executable consensus checklist chaining deterministic rule hard constraints, LightRAG knowledge-graph retrieval, and LLM arbitration — aligned statement-by-statement with an international consensus.</w:t>
      </w:r>
    </w:p>
    <w:p>
      <w:r>
        <w:rPr>
          <w:rFonts w:ascii="Times New Roman" w:hAnsi="Times New Roman"/>
          <w:b w:val="0"/>
          <w:i w:val="0"/>
        </w:rPr>
        <w:t xml:space="preserve">2. </w:t>
      </w:r>
      <w:r>
        <w:rPr>
          <w:rFonts w:ascii="Times New Roman" w:hAnsi="Times New Roman"/>
          <w:b/>
          <w:i w:val="0"/>
        </w:rPr>
        <w:t>Gold-standard alignment.</w:t>
      </w:r>
      <w:r>
        <w:rPr>
          <w:rFonts w:ascii="Times New Roman" w:hAnsi="Times New Roman"/>
          <w:b w:val="0"/>
          <w:i w:val="0"/>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r>
        <w:rPr>
          <w:rFonts w:ascii="Times New Roman" w:hAnsi="Times New Roman"/>
          <w:b w:val="0"/>
          <w:i w:val="0"/>
        </w:rPr>
        <w:t xml:space="preserve">3. </w:t>
      </w:r>
      <w:r>
        <w:rPr>
          <w:rFonts w:ascii="Times New Roman" w:hAnsi="Times New Roman"/>
          <w:b/>
          <w:i w:val="0"/>
        </w:rPr>
        <w:t>Reproducible benchmark.</w:t>
      </w:r>
      <w:r>
        <w:rPr>
          <w:rFonts w:ascii="Times New Roman" w:hAnsi="Times New Roman"/>
          <w:b w:val="0"/>
          <w:i w:val="0"/>
        </w:rPr>
        <w:t xml:space="preserve"> With the generator tier held fixed, the full system reached exact-5 0.805 (κ 0.730) versus pure-LLM 0.304, naive RAG 0.605, and LightRAG-only 0.613; upgrading the generator tier did not rescue baseline architectures (naive RAG exact-5 fell to 0.538).</w:t>
      </w:r>
    </w:p>
    <w:p>
      <w:r>
        <w:rPr>
          <w:rFonts w:ascii="Times New Roman" w:hAnsi="Times New Roman"/>
          <w:b w:val="0"/>
          <w:i w:val="0"/>
        </w:rPr>
        <w:t xml:space="preserve">4. </w:t>
      </w:r>
      <w:r>
        <w:rPr>
          <w:rFonts w:ascii="Times New Roman" w:hAnsi="Times New Roman"/>
          <w:b/>
          <w:i w:val="0"/>
        </w:rPr>
        <w:t>Reproducibility.</w:t>
      </w:r>
      <w:r>
        <w:rPr>
          <w:rFonts w:ascii="Times New Roman" w:hAnsi="Times New Roman"/>
          <w:b w:val="0"/>
          <w:i w:val="0"/>
        </w:rPr>
        <w:t xml:space="preserve"> Rules, registries, evidence corpus, all 2,240 raw predictions, and evaluation scripts are released; the index records the rule-file SHA-256 at build time so the app can verify index–rules version integrity.</w:t>
      </w:r>
    </w:p>
    <w:p>
      <w:pPr>
        <w:pStyle w:val="Heading1"/>
      </w:pPr>
      <w:r>
        <w:rPr>
          <w:rFonts w:ascii="Times New Roman" w:hAnsi="Times New Roman"/>
          <w:b w:val="0"/>
          <w:i w:val="0"/>
        </w:rPr>
        <w:t>Methods</w:t>
      </w:r>
    </w:p>
    <w:p>
      <w:pPr>
        <w:pStyle w:val="Heading2"/>
      </w:pPr>
      <w:r>
        <w:rPr>
          <w:b/>
        </w:rPr>
      </w:r>
      <w:r>
        <w:rPr>
          <w:rFonts w:ascii="Times New Roman" w:hAnsi="Times New Roman"/>
          <w:b w:val="0"/>
          <w:i w:val="0"/>
        </w:rPr>
        <w:t>Study design and ethics</w:t>
      </w:r>
    </w:p>
    <w:p>
      <w:r>
        <w:rPr>
          <w:rFonts w:ascii="Times New Roman" w:hAnsi="Times New Roman"/>
          <w:b w:val="0"/>
          <w:i w:val="0"/>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pStyle w:val="Heading2"/>
      </w:pPr>
      <w:r>
        <w:rPr>
          <w:b/>
        </w:rPr>
      </w:r>
      <w:r>
        <w:rPr>
          <w:rFonts w:ascii="Times New Roman" w:hAnsi="Times New Roman"/>
          <w:b w:val="0"/>
          <w:i w:val="0"/>
        </w:rPr>
        <w:t>Validation set: 112 ProBIOPSY final statements</w:t>
      </w:r>
    </w:p>
    <w:p>
      <w:r>
        <w:rPr>
          <w:rFonts w:ascii="Times New Roman" w:hAnsi="Times New Roman"/>
          <w:b w:val="0"/>
          <w:i w:val="0"/>
        </w:rPr>
        <w:t xml:space="preserve">All 112 final statements of the ProBIOPSY consensus [21] served as the gold standard. Each statement was mapped to an expected system action in a pre-defined five-class taxonomy: </w:t>
      </w:r>
      <w:r>
        <w:rPr>
          <w:rFonts w:ascii="Times New Roman" w:hAnsi="Times New Roman"/>
          <w:b/>
          <w:i w:val="0"/>
        </w:rPr>
        <w:t>endorse</w:t>
      </w:r>
      <w:r>
        <w:rPr>
          <w:rFonts w:ascii="Times New Roman" w:hAnsi="Times New Roman"/>
          <w:b w:val="0"/>
          <w:i w:val="0"/>
        </w:rPr>
        <w:t xml:space="preserve"> (support as stated), </w:t>
      </w:r>
      <w:r>
        <w:rPr>
          <w:rFonts w:ascii="Times New Roman" w:hAnsi="Times New Roman"/>
          <w:b/>
          <w:i w:val="0"/>
        </w:rPr>
        <w:t>endorse_option</w:t>
      </w:r>
      <w:r>
        <w:rPr>
          <w:rFonts w:ascii="Times New Roman" w:hAnsi="Times New Roman"/>
          <w:b w:val="0"/>
          <w:i w:val="0"/>
        </w:rPr>
        <w:t xml:space="preserve"> (support as one of several acceptable options), </w:t>
      </w:r>
      <w:r>
        <w:rPr>
          <w:rFonts w:ascii="Times New Roman" w:hAnsi="Times New Roman"/>
          <w:b/>
          <w:i w:val="0"/>
        </w:rPr>
        <w:t>conditional</w:t>
      </w:r>
      <w:r>
        <w:rPr>
          <w:rFonts w:ascii="Times New Roman" w:hAnsi="Times New Roman"/>
          <w:b w:val="0"/>
          <w:i w:val="0"/>
        </w:rPr>
        <w:t xml:space="preserve"> (support under specified conditions), </w:t>
      </w:r>
      <w:r>
        <w:rPr>
          <w:rFonts w:ascii="Times New Roman" w:hAnsi="Times New Roman"/>
          <w:b/>
          <w:i w:val="0"/>
        </w:rPr>
        <w:t>report_option</w:t>
      </w:r>
      <w:r>
        <w:rPr>
          <w:rFonts w:ascii="Times New Roman" w:hAnsi="Times New Roman"/>
          <w:b w:val="0"/>
          <w:i w:val="0"/>
        </w:rPr>
        <w:t xml:space="preserve"> (present as an available pathway without active recommendation), and </w:t>
      </w:r>
      <w:r>
        <w:rPr>
          <w:rFonts w:ascii="Times New Roman" w:hAnsi="Times New Roman"/>
          <w:b/>
          <w:i w:val="0"/>
        </w:rPr>
        <w:t>against</w:t>
      </w:r>
      <w:r>
        <w:rPr>
          <w:rFonts w:ascii="Times New Roman" w:hAnsi="Times New Roman"/>
          <w:b w:val="0"/>
          <w:i w:val="0"/>
        </w:rPr>
        <w:t xml:space="preserve"> (recommend against). The gold-standard action distribution is endorse 190, conditional 185, against 125, endorse_option 35, and report_option 25. Statements span three domains: indication (n = 23), procedure (n = 34), and treatment planning (n = 55, anchored by ISUP grade-group–driven treatment decisions [44]); 25 statements (22.3%) are against-class, providing a demanding test for systems with optimism bias. The five demonstration vignettes described under Results are synthetic cases built on the same registries and are not part of the 112-statement evaluation set.</w:t>
      </w:r>
    </w:p>
    <w:p>
      <w:pPr>
        <w:pStyle w:val="Heading2"/>
      </w:pPr>
      <w:r>
        <w:rPr>
          <w:b/>
        </w:rPr>
      </w:r>
      <w:r>
        <w:rPr>
          <w:rFonts w:ascii="Times New Roman" w:hAnsi="Times New Roman"/>
          <w:b w:val="0"/>
          <w:i w:val="0"/>
        </w:rPr>
        <w:t>System architecture</w:t>
      </w:r>
    </w:p>
    <w:p>
      <w:r>
        <w:rPr>
          <w:rFonts w:ascii="Times New Roman" w:hAnsi="Times New Roman"/>
          <w:b w:val="0"/>
          <w:i w:val="0"/>
        </w:rPr>
        <w:t>The input is a pair (patient clinical scenario × biopsy decision item); the output is a structured verdict: one of five actions, a confidence value, triggered rules, and citations to numbered consensus statements and evidence chunks (Figure 1).</w:t>
      </w:r>
    </w:p>
    <w:p>
      <w:r>
        <w:rPr>
          <w:rFonts w:ascii="Times New Roman" w:hAnsi="Times New Roman"/>
          <w:b/>
          <w:i w:val="0"/>
        </w:rPr>
        <w:t>Input layer: dual registries.</w:t>
      </w:r>
      <w:r>
        <w:rPr>
          <w:rFonts w:ascii="Times New Roman" w:hAnsi="Times New Roman"/>
          <w:b w:val="0"/>
          <w:i w:val="0"/>
        </w:rPr>
        <w:t xml:space="preserve"> Entity A (patient scenarios) contains 51 archetypes with 49 distinct scenario flags across imaging (PI-RADS grade, mpMRI/bpMRI, field strength, PI-QUAL quality [17]),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r>
        <w:rPr>
          <w:rFonts w:ascii="Times New Roman" w:hAnsi="Times New Roman"/>
          <w:b/>
          <w:i w:val="0"/>
        </w:rPr>
        <w:t>Table 1.</w:t>
      </w:r>
      <w:r>
        <w:rPr>
          <w:rFonts w:ascii="Times New Roman" w:hAnsi="Times New Roman"/>
          <w:b w:val="0"/>
          <w:i w:val="0"/>
        </w:rPr>
        <w:t xml:space="preserve"> Dual entity registries: item and flag counts with category breakdown. The full registries are released as `data/seed/entities_a.csv` and `data/seed/entities_b.csv`.</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rFonts w:ascii="Times New Roman" w:hAnsi="Times New Roman"/>
                <w:b/>
                <w:i w:val="0"/>
                <w:sz w:val="18"/>
              </w:rPr>
              <w:t>registry</w:t>
            </w:r>
          </w:p>
        </w:tc>
        <w:tc>
          <w:tcPr>
            <w:tcW w:type="dxa" w:w="1814"/>
          </w:tcPr>
          <w:p>
            <w:pPr>
              <w:spacing w:line="240" w:lineRule="auto"/>
            </w:pPr>
            <w:r>
              <w:rPr>
                <w:rFonts w:ascii="Times New Roman" w:hAnsi="Times New Roman"/>
                <w:b/>
                <w:i w:val="0"/>
                <w:sz w:val="18"/>
              </w:rPr>
              <w:t>n_items</w:t>
            </w:r>
          </w:p>
        </w:tc>
        <w:tc>
          <w:tcPr>
            <w:tcW w:type="dxa" w:w="1814"/>
          </w:tcPr>
          <w:p>
            <w:pPr>
              <w:spacing w:line="240" w:lineRule="auto"/>
            </w:pPr>
            <w:r>
              <w:rPr>
                <w:rFonts w:ascii="Times New Roman" w:hAnsi="Times New Roman"/>
                <w:b/>
                <w:i w:val="0"/>
                <w:sz w:val="18"/>
              </w:rPr>
              <w:t>n_unique_flags</w:t>
            </w:r>
          </w:p>
        </w:tc>
        <w:tc>
          <w:tcPr>
            <w:tcW w:type="dxa" w:w="1814"/>
          </w:tcPr>
          <w:p>
            <w:pPr>
              <w:spacing w:line="240" w:lineRule="auto"/>
            </w:pPr>
            <w:r>
              <w:rPr>
                <w:rFonts w:ascii="Times New Roman" w:hAnsi="Times New Roman"/>
                <w:b/>
                <w:i w:val="0"/>
                <w:sz w:val="18"/>
              </w:rPr>
              <w:t>category_breakdown</w:t>
            </w:r>
          </w:p>
        </w:tc>
        <w:tc>
          <w:tcPr>
            <w:tcW w:type="dxa" w:w="1814"/>
          </w:tcPr>
          <w:p>
            <w:pPr>
              <w:spacing w:line="240" w:lineRule="auto"/>
            </w:pPr>
            <w:r>
              <w:rPr>
                <w:rFonts w:ascii="Times New Roman" w:hAnsi="Times New Roman"/>
                <w:b/>
                <w:i w:val="0"/>
                <w:sz w:val="18"/>
              </w:rPr>
              <w:t>source_file</w:t>
            </w:r>
          </w:p>
        </w:tc>
      </w:tr>
      <w:tr>
        <w:tc>
          <w:tcPr>
            <w:tcW w:type="dxa" w:w="1814"/>
          </w:tcPr>
          <w:p>
            <w:pPr>
              <w:spacing w:line="240" w:lineRule="auto"/>
            </w:pPr>
            <w:r>
              <w:rPr>
                <w:rFonts w:ascii="Times New Roman" w:hAnsi="Times New Roman"/>
                <w:b w:val="0"/>
                <w:i w:val="0"/>
                <w:sz w:val="18"/>
              </w:rPr>
              <w:t>A_patient_scenarios</w:t>
            </w:r>
          </w:p>
        </w:tc>
        <w:tc>
          <w:tcPr>
            <w:tcW w:type="dxa" w:w="1814"/>
          </w:tcPr>
          <w:p>
            <w:pPr>
              <w:spacing w:line="240" w:lineRule="auto"/>
            </w:pPr>
            <w:r>
              <w:rPr>
                <w:rFonts w:ascii="Times New Roman" w:hAnsi="Times New Roman"/>
                <w:b w:val="0"/>
                <w:i w:val="0"/>
                <w:sz w:val="18"/>
              </w:rPr>
              <w:t>51</w:t>
            </w:r>
          </w:p>
        </w:tc>
        <w:tc>
          <w:tcPr>
            <w:tcW w:type="dxa" w:w="1814"/>
          </w:tcPr>
          <w:p>
            <w:pPr>
              <w:spacing w:line="240" w:lineRule="auto"/>
            </w:pPr>
            <w:r>
              <w:rPr>
                <w:rFonts w:ascii="Times New Roman" w:hAnsi="Times New Roman"/>
                <w:b w:val="0"/>
                <w:i w:val="0"/>
                <w:sz w:val="18"/>
              </w:rPr>
              <w:t>49</w:t>
            </w:r>
          </w:p>
        </w:tc>
        <w:tc>
          <w:tcPr>
            <w:tcW w:type="dxa" w:w="1814"/>
          </w:tcPr>
          <w:p>
            <w:pPr>
              <w:spacing w:line="240" w:lineRule="auto"/>
            </w:pPr>
            <w:r>
              <w:rPr>
                <w:rFonts w:ascii="Times New Roman" w:hAnsi="Times New Roman"/>
                <w:b w:val="0"/>
                <w:i w:val="0"/>
                <w:sz w:val="18"/>
              </w:rPr>
              <w:t>imaging=17; lab_biomarker=9; clinical=7; history_risk=6; treatment_intent=6; resource_availability=5; demographic=1</w:t>
            </w:r>
          </w:p>
        </w:tc>
        <w:tc>
          <w:tcPr>
            <w:tcW w:type="dxa" w:w="1814"/>
          </w:tcPr>
          <w:p>
            <w:pPr>
              <w:spacing w:line="240" w:lineRule="auto"/>
            </w:pPr>
            <w:r>
              <w:rPr>
                <w:rFonts w:ascii="Times New Roman" w:hAnsi="Times New Roman"/>
                <w:b w:val="0"/>
                <w:i w:val="0"/>
                <w:sz w:val="18"/>
              </w:rPr>
              <w:t>data/seed/entities_a.csv</w:t>
            </w:r>
          </w:p>
        </w:tc>
      </w:tr>
      <w:tr>
        <w:tc>
          <w:tcPr>
            <w:tcW w:type="dxa" w:w="1814"/>
          </w:tcPr>
          <w:p>
            <w:pPr>
              <w:spacing w:line="240" w:lineRule="auto"/>
            </w:pPr>
            <w:r>
              <w:rPr>
                <w:rFonts w:ascii="Times New Roman" w:hAnsi="Times New Roman"/>
                <w:b w:val="0"/>
                <w:i w:val="0"/>
                <w:sz w:val="18"/>
              </w:rPr>
              <w:t>B_decision_items</w:t>
            </w:r>
          </w:p>
        </w:tc>
        <w:tc>
          <w:tcPr>
            <w:tcW w:type="dxa" w:w="1814"/>
          </w:tcPr>
          <w:p>
            <w:pPr>
              <w:spacing w:line="240" w:lineRule="auto"/>
            </w:pPr>
            <w:r>
              <w:rPr>
                <w:rFonts w:ascii="Times New Roman" w:hAnsi="Times New Roman"/>
                <w:b w:val="0"/>
                <w:i w:val="0"/>
                <w:sz w:val="18"/>
              </w:rPr>
              <w:t>54</w:t>
            </w:r>
          </w:p>
        </w:tc>
        <w:tc>
          <w:tcPr>
            <w:tcW w:type="dxa" w:w="1814"/>
          </w:tcPr>
          <w:p>
            <w:pPr>
              <w:spacing w:line="240" w:lineRule="auto"/>
            </w:pPr>
            <w:r>
              <w:rPr>
                <w:rFonts w:ascii="Times New Roman" w:hAnsi="Times New Roman"/>
                <w:b w:val="0"/>
                <w:i w:val="0"/>
                <w:sz w:val="18"/>
              </w:rPr>
              <w:t>20</w:t>
            </w:r>
          </w:p>
        </w:tc>
        <w:tc>
          <w:tcPr>
            <w:tcW w:type="dxa" w:w="1814"/>
          </w:tcPr>
          <w:p>
            <w:pPr>
              <w:spacing w:line="240" w:lineRule="auto"/>
            </w:pPr>
            <w:r>
              <w:rPr>
                <w:rFonts w:ascii="Times New Roman" w:hAnsi="Times New Roman"/>
                <w:b w:val="0"/>
                <w:i w:val="0"/>
                <w:sz w:val="18"/>
              </w:rPr>
              <w:t>indication=22; procedure=22; treatment_planning=10</w:t>
            </w:r>
          </w:p>
        </w:tc>
        <w:tc>
          <w:tcPr>
            <w:tcW w:type="dxa" w:w="1814"/>
          </w:tcPr>
          <w:p>
            <w:pPr>
              <w:spacing w:line="240" w:lineRule="auto"/>
            </w:pPr>
            <w:r>
              <w:rPr>
                <w:rFonts w:ascii="Times New Roman" w:hAnsi="Times New Roman"/>
                <w:b w:val="0"/>
                <w:i w:val="0"/>
                <w:sz w:val="18"/>
              </w:rPr>
              <w:t>data/seed/entities_b.csv</w:t>
            </w:r>
          </w:p>
        </w:tc>
      </w:tr>
    </w:tbl>
    <w:p>
      <w:r>
        <w:rPr>
          <w:rFonts w:ascii="Times New Roman" w:hAnsi="Times New Roman"/>
          <w:b/>
          <w:i w:val="0"/>
        </w:rPr>
        <w:t>Layer 1: deterministic rule engine.</w:t>
      </w:r>
      <w:r>
        <w:rPr>
          <w:rFonts w:ascii="Times New Roman" w:hAnsi="Times New Roman"/>
          <w:b w:val="0"/>
          <w:i w:val="0"/>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r>
        <w:rPr>
          <w:rFonts w:ascii="Times New Roman" w:hAnsi="Times New Roman"/>
          <w:b/>
          <w:i w:val="0"/>
        </w:rPr>
        <w:t>Table 2.</w:t>
      </w:r>
      <w:r>
        <w:rPr>
          <w:rFonts w:ascii="Times New Roman" w:hAnsi="Times New Roman"/>
          <w:b w:val="0"/>
          <w:i w:val="0"/>
        </w:rPr>
        <w:t xml:space="preserve"> The 16-rule base: 12 consensus rules and 4 patient-factor escalation rules. Trigger-flag counts are per rule set; full trigger definitions, recommended actions, and Q-code citations are released in `configs/rules.yaml`.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40" w:lineRule="auto"/>
            </w:pPr>
            <w:r>
              <w:rPr>
                <w:rFonts w:ascii="Times New Roman" w:hAnsi="Times New Roman"/>
                <w:b/>
                <w:i w:val="0"/>
                <w:sz w:val="18"/>
              </w:rPr>
              <w:t>rule_id</w:t>
            </w:r>
          </w:p>
        </w:tc>
        <w:tc>
          <w:tcPr>
            <w:tcW w:type="dxa" w:w="1296"/>
          </w:tcPr>
          <w:p>
            <w:pPr>
              <w:spacing w:line="240" w:lineRule="auto"/>
            </w:pPr>
            <w:r>
              <w:rPr>
                <w:rFonts w:ascii="Times New Roman" w:hAnsi="Times New Roman"/>
                <w:b/>
                <w:i w:val="0"/>
                <w:sz w:val="18"/>
              </w:rPr>
              <w:t>rule_set</w:t>
            </w:r>
          </w:p>
        </w:tc>
        <w:tc>
          <w:tcPr>
            <w:tcW w:type="dxa" w:w="1296"/>
          </w:tcPr>
          <w:p>
            <w:pPr>
              <w:spacing w:line="240" w:lineRule="auto"/>
            </w:pPr>
            <w:r>
              <w:rPr>
                <w:rFonts w:ascii="Times New Roman" w:hAnsi="Times New Roman"/>
                <w:b/>
                <w:i w:val="0"/>
                <w:sz w:val="18"/>
              </w:rPr>
              <w:t>severity</w:t>
            </w:r>
          </w:p>
        </w:tc>
        <w:tc>
          <w:tcPr>
            <w:tcW w:type="dxa" w:w="1296"/>
          </w:tcPr>
          <w:p>
            <w:pPr>
              <w:spacing w:line="240" w:lineRule="auto"/>
            </w:pPr>
            <w:r>
              <w:rPr>
                <w:rFonts w:ascii="Times New Roman" w:hAnsi="Times New Roman"/>
                <w:b/>
                <w:i w:val="0"/>
                <w:sz w:val="18"/>
              </w:rPr>
              <w:t>risk_type</w:t>
            </w:r>
          </w:p>
        </w:tc>
        <w:tc>
          <w:tcPr>
            <w:tcW w:type="dxa" w:w="1296"/>
          </w:tcPr>
          <w:p>
            <w:pPr>
              <w:spacing w:line="240" w:lineRule="auto"/>
            </w:pPr>
            <w:r>
              <w:rPr>
                <w:rFonts w:ascii="Times New Roman" w:hAnsi="Times New Roman"/>
                <w:b/>
                <w:i w:val="0"/>
                <w:sz w:val="18"/>
              </w:rPr>
              <w:t>n_trigger_flags_a</w:t>
            </w:r>
          </w:p>
        </w:tc>
        <w:tc>
          <w:tcPr>
            <w:tcW w:type="dxa" w:w="1296"/>
          </w:tcPr>
          <w:p>
            <w:pPr>
              <w:spacing w:line="240" w:lineRule="auto"/>
            </w:pPr>
            <w:r>
              <w:rPr>
                <w:rFonts w:ascii="Times New Roman" w:hAnsi="Times New Roman"/>
                <w:b/>
                <w:i w:val="0"/>
                <w:sz w:val="18"/>
              </w:rPr>
              <w:t>n_target_flags_b</w:t>
            </w:r>
          </w:p>
        </w:tc>
        <w:tc>
          <w:tcPr>
            <w:tcW w:type="dxa" w:w="1296"/>
          </w:tcPr>
          <w:p>
            <w:pPr>
              <w:spacing w:line="240" w:lineRule="auto"/>
            </w:pPr>
            <w:r>
              <w:rPr>
                <w:rFonts w:ascii="Times New Roman" w:hAnsi="Times New Roman"/>
                <w:b/>
                <w:i w:val="0"/>
                <w:sz w:val="18"/>
              </w:rPr>
              <w:t>rationale_first_sentence</w:t>
            </w:r>
          </w:p>
        </w:tc>
      </w:tr>
      <w:tr>
        <w:tc>
          <w:tcPr>
            <w:tcW w:type="dxa" w:w="1296"/>
          </w:tcPr>
          <w:p>
            <w:pPr>
              <w:spacing w:line="240" w:lineRule="auto"/>
            </w:pPr>
            <w:r>
              <w:rPr>
                <w:rFonts w:ascii="Times New Roman" w:hAnsi="Times New Roman"/>
                <w:b w:val="0"/>
                <w:i w:val="0"/>
                <w:sz w:val="18"/>
              </w:rPr>
              <w:t>mri_acquisition_quality_pathway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consensus: every prostate MRI must be checked against PI-QUAL v2 quality criteria before the biopsy pathway is decided (Q4a median 9, Q4b median 8 — consensus agree);</w:t>
            </w:r>
          </w:p>
        </w:tc>
      </w:tr>
      <w:tr>
        <w:tc>
          <w:tcPr>
            <w:tcW w:type="dxa" w:w="1296"/>
          </w:tcPr>
          <w:p>
            <w:pPr>
              <w:spacing w:line="240" w:lineRule="auto"/>
            </w:pPr>
            <w:r>
              <w:rPr>
                <w:rFonts w:ascii="Times New Roman" w:hAnsi="Times New Roman"/>
                <w:b w:val="0"/>
                <w:i w:val="0"/>
                <w:sz w:val="18"/>
              </w:rPr>
              <w:t>indeterminate_lesion_ancillary_workup</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ancillary_workup</w:t>
            </w:r>
          </w:p>
        </w:tc>
        <w:tc>
          <w:tcPr>
            <w:tcW w:type="dxa" w:w="1296"/>
          </w:tcPr>
          <w:p>
            <w:pPr>
              <w:spacing w:line="240" w:lineRule="auto"/>
            </w:pPr>
            <w:r>
              <w:rPr>
                <w:rFonts w:ascii="Times New Roman" w:hAnsi="Times New Roman"/>
                <w:b w:val="0"/>
                <w:i w:val="0"/>
                <w:sz w:val="18"/>
              </w:rPr>
              <w:t>8</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For an indeterminate lesion (PI-RADS 3), ProBIOPSY endorses PSAD as the primary gate to reduce unnecessary biopsies — for bpMRI (Q11 median 7) and even more strongly for mpMRI (Q14 median 8);</w:t>
            </w:r>
          </w:p>
        </w:tc>
      </w:tr>
      <w:tr>
        <w:tc>
          <w:tcPr>
            <w:tcW w:type="dxa" w:w="1296"/>
          </w:tcPr>
          <w:p>
            <w:pPr>
              <w:spacing w:line="240" w:lineRule="auto"/>
            </w:pPr>
            <w:r>
              <w:rPr>
                <w:rFonts w:ascii="Times New Roman" w:hAnsi="Times New Roman"/>
                <w:b w:val="0"/>
                <w:i w:val="0"/>
                <w:sz w:val="18"/>
              </w:rPr>
              <w:t>negative_mri_high_suspicion_pathway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7</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when MRI is negative but clinical suspicion remains high (abnormal DRE, persistently elevated PSA, strong family history, Black ethnicity, prior negative biopsy), a 12-core systematic biopsy is still endorsed…</w:t>
            </w:r>
          </w:p>
        </w:tc>
      </w:tr>
      <w:tr>
        <w:tc>
          <w:tcPr>
            <w:tcW w:type="dxa" w:w="1296"/>
          </w:tcPr>
          <w:p>
            <w:pPr>
              <w:spacing w:line="240" w:lineRule="auto"/>
            </w:pPr>
            <w:r>
              <w:rPr>
                <w:rFonts w:ascii="Times New Roman" w:hAnsi="Times New Roman"/>
                <w:b w:val="0"/>
                <w:i w:val="0"/>
                <w:sz w:val="18"/>
              </w:rPr>
              <w:t>upfront_new_imaging_rejection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3</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explicitly rejects PSMA PET/MRI as an upfront first-line biopsy-decision tool (Q17 median 2 — consensus disagree) and microultrasound as an upfront alternative to prostate MRI (Q20 median 2 — consensus disagree…</w:t>
            </w:r>
          </w:p>
        </w:tc>
      </w:tr>
      <w:tr>
        <w:tc>
          <w:tcPr>
            <w:tcW w:type="dxa" w:w="1296"/>
          </w:tcPr>
          <w:p>
            <w:pPr>
              <w:spacing w:line="240" w:lineRule="auto"/>
            </w:pPr>
            <w:r>
              <w:rPr>
                <w:rFonts w:ascii="Times New Roman" w:hAnsi="Times New Roman"/>
                <w:b w:val="0"/>
                <w:i w:val="0"/>
                <w:sz w:val="18"/>
              </w:rPr>
              <w:t>ai_mri_lesion_detection_aid</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ai_decision_support</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ProBIOPSY endorses AI software as an aid to MRI lesion detection and characterization, with interpretation remaining the radiologist's responsibility (Q26 median 7 — consensus agree).</w:t>
            </w:r>
          </w:p>
        </w:tc>
      </w:tr>
      <w:tr>
        <w:tc>
          <w:tcPr>
            <w:tcW w:type="dxa" w:w="1296"/>
          </w:tcPr>
          <w:p>
            <w:pPr>
              <w:spacing w:line="240" w:lineRule="auto"/>
            </w:pPr>
            <w:r>
              <w:rPr>
                <w:rFonts w:ascii="Times New Roman" w:hAnsi="Times New Roman"/>
                <w:b w:val="0"/>
                <w:i w:val="0"/>
                <w:sz w:val="18"/>
              </w:rPr>
              <w:t>advanced_disease_reduced_systematic_scheme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endorses a reduced (6-core) systematic scheme in advanced disease, where detection of any grade group confirms management rather than changing mapping precision (Q57 median 8 — consensus agree).</w:t>
            </w:r>
          </w:p>
        </w:tc>
      </w:tr>
      <w:tr>
        <w:tc>
          <w:tcPr>
            <w:tcW w:type="dxa" w:w="1296"/>
          </w:tcPr>
          <w:p>
            <w:pPr>
              <w:spacing w:line="240" w:lineRule="auto"/>
            </w:pPr>
            <w:r>
              <w:rPr>
                <w:rFonts w:ascii="Times New Roman" w:hAnsi="Times New Roman"/>
                <w:b w:val="0"/>
                <w:i w:val="0"/>
                <w:sz w:val="18"/>
              </w:rPr>
              <w:t>systematic_template_selection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endorses the 12-core systematic template as the standard when systematic cores are indicated (Q52 median 8 — consensus agree) and rejects the classical 6-core sextant template (Q51 median 3), the Ginsburg 4-6 c…</w:t>
            </w:r>
          </w:p>
        </w:tc>
      </w:tr>
      <w:tr>
        <w:tc>
          <w:tcPr>
            <w:tcW w:type="dxa" w:w="1296"/>
          </w:tcPr>
          <w:p>
            <w:pPr>
              <w:spacing w:line="240" w:lineRule="auto"/>
            </w:pPr>
            <w:r>
              <w:rPr>
                <w:rFonts w:ascii="Times New Roman" w:hAnsi="Times New Roman"/>
                <w:b w:val="0"/>
                <w:i w:val="0"/>
                <w:sz w:val="18"/>
              </w:rPr>
              <w:t>targeted_core_count_adaptation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reached no consensus on a fixed targeted-core count: adapting the number of targeted cores to PI-RADS score was 'neither' (Q34 median 6), and the proposed minimum of 3 cores per target failed to reach consensus…</w:t>
            </w:r>
          </w:p>
        </w:tc>
      </w:tr>
      <w:tr>
        <w:tc>
          <w:tcPr>
            <w:tcW w:type="dxa" w:w="1296"/>
          </w:tcPr>
          <w:p>
            <w:pPr>
              <w:spacing w:line="240" w:lineRule="auto"/>
            </w:pPr>
            <w:r>
              <w:rPr>
                <w:rFonts w:ascii="Times New Roman" w:hAnsi="Times New Roman"/>
                <w:b w:val="0"/>
                <w:i w:val="0"/>
                <w:sz w:val="18"/>
              </w:rPr>
              <w:t>perilesional_plbx_technique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adopts the term 'perilesional biopsy' for cores placed just outside the MRI lesion margin (Q37a — SOQ consensus), requires targeted cores to be placed within 10 mm of the lesion (Q38 — SOQ consensus), scales th…</w:t>
            </w:r>
          </w:p>
        </w:tc>
      </w:tr>
      <w:tr>
        <w:tc>
          <w:tcPr>
            <w:tcW w:type="dxa" w:w="1296"/>
          </w:tcPr>
          <w:p>
            <w:pPr>
              <w:spacing w:line="240" w:lineRule="auto"/>
            </w:pPr>
            <w:r>
              <w:rPr>
                <w:rFonts w:ascii="Times New Roman" w:hAnsi="Times New Roman"/>
                <w:b w:val="0"/>
                <w:i w:val="0"/>
                <w:sz w:val="18"/>
              </w:rPr>
              <w:t>biopsy_scheme_by_lesion_distribution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targeted + perilesional biopsy without contralateral systematic cores for a unifocal lesion (Q43 median 7 — consensus agree) and for multifocal ipsilateral disease reaching bilateral tissue adequacy is…</w:t>
            </w:r>
          </w:p>
        </w:tc>
      </w:tr>
      <w:tr>
        <w:tc>
          <w:tcPr>
            <w:tcW w:type="dxa" w:w="1296"/>
          </w:tcPr>
          <w:p>
            <w:pPr>
              <w:spacing w:line="240" w:lineRule="auto"/>
            </w:pPr>
            <w:r>
              <w:rPr>
                <w:rFonts w:ascii="Times New Roman" w:hAnsi="Times New Roman"/>
                <w:b w:val="0"/>
                <w:i w:val="0"/>
                <w:sz w:val="18"/>
              </w:rPr>
              <w:t>route_anaesthesia_prophylaxis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perioperative</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the transperineal route as the standard for prostate biopsy (Q58 — SOQ consensus) with periprostatic nerve block for both transrectal (Q59) and transperineal (Q60) approaches (both SOQ consensus).</w:t>
            </w:r>
          </w:p>
        </w:tc>
      </w:tr>
      <w:tr>
        <w:tc>
          <w:tcPr>
            <w:tcW w:type="dxa" w:w="1296"/>
          </w:tcPr>
          <w:p>
            <w:pPr>
              <w:spacing w:line="240" w:lineRule="auto"/>
            </w:pPr>
            <w:r>
              <w:rPr>
                <w:rFonts w:ascii="Times New Roman" w:hAnsi="Times New Roman"/>
                <w:b w:val="0"/>
                <w:i w:val="0"/>
                <w:sz w:val="18"/>
              </w:rPr>
              <w:t>treatment_planning_tissue_requirements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treatment_planning</w:t>
            </w:r>
          </w:p>
        </w:tc>
        <w:tc>
          <w:tcPr>
            <w:tcW w:type="dxa" w:w="1296"/>
          </w:tcPr>
          <w:p>
            <w:pPr>
              <w:spacing w:line="240" w:lineRule="auto"/>
            </w:pPr>
            <w:r>
              <w:rPr>
                <w:rFonts w:ascii="Times New Roman" w:hAnsi="Times New Roman"/>
                <w:b w:val="0"/>
                <w:i w:val="0"/>
                <w:sz w:val="18"/>
              </w:rPr>
              <w:t>6</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ProBIOPSY links biopsy scheme to downstream treatment intent: for focal therapy, targeted+perilesional alone is deemed insufficient and contralateral systematic biopsy must be added (Q65 median 7 — consensus agree);</w:t>
            </w:r>
          </w:p>
        </w:tc>
      </w:tr>
      <w:tr>
        <w:tc>
          <w:tcPr>
            <w:tcW w:type="dxa" w:w="1296"/>
          </w:tcPr>
          <w:p>
            <w:pPr>
              <w:spacing w:line="240" w:lineRule="auto"/>
            </w:pPr>
            <w:r>
              <w:rPr>
                <w:rFonts w:ascii="Times New Roman" w:hAnsi="Times New Roman"/>
                <w:b w:val="0"/>
                <w:i w:val="0"/>
                <w:sz w:val="18"/>
              </w:rPr>
              <w:t>immunocompromised_or_infection_history</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Infection risk factors (Q62 catalogue: immunosuppression, prior prostatitis, recent instrumentation, MRSA colonization, etc.) escalate the perioperative rule R11 — prefer the transperineal route and augmented prophylaxis…</w:t>
            </w:r>
          </w:p>
        </w:tc>
      </w:tr>
      <w:tr>
        <w:tc>
          <w:tcPr>
            <w:tcW w:type="dxa" w:w="1296"/>
          </w:tcPr>
          <w:p>
            <w:pPr>
              <w:spacing w:line="240" w:lineRule="auto"/>
            </w:pPr>
            <w:r>
              <w:rPr>
                <w:rFonts w:ascii="Times New Roman" w:hAnsi="Times New Roman"/>
                <w:b w:val="0"/>
                <w:i w:val="0"/>
                <w:sz w:val="18"/>
              </w:rPr>
              <w:t>unfit_for_curative_treatment</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Patients unfit for curative treatment shift the goal from mapping precision to confirmation — R06 reduced systematic scheme applies.</w:t>
            </w:r>
          </w:p>
        </w:tc>
      </w:tr>
      <w:tr>
        <w:tc>
          <w:tcPr>
            <w:tcW w:type="dxa" w:w="1296"/>
          </w:tcPr>
          <w:p>
            <w:pPr>
              <w:spacing w:line="240" w:lineRule="auto"/>
            </w:pPr>
            <w:r>
              <w:rPr>
                <w:rFonts w:ascii="Times New Roman" w:hAnsi="Times New Roman"/>
                <w:b w:val="0"/>
                <w:i w:val="0"/>
                <w:sz w:val="18"/>
              </w:rPr>
              <w:t>repeat_biopsy_setting</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Prior negative biopsy with persisting suspicion raises sepsis risk on repeat access and keeps the 12-core template relevant (R03/R11 escalation).</w:t>
            </w:r>
          </w:p>
        </w:tc>
      </w:tr>
      <w:tr>
        <w:tc>
          <w:tcPr>
            <w:tcW w:type="dxa" w:w="1296"/>
          </w:tcPr>
          <w:p>
            <w:pPr>
              <w:spacing w:line="240" w:lineRule="auto"/>
            </w:pPr>
            <w:r>
              <w:rPr>
                <w:rFonts w:ascii="Times New Roman" w:hAnsi="Times New Roman"/>
                <w:b w:val="0"/>
                <w:i w:val="0"/>
                <w:sz w:val="18"/>
              </w:rPr>
              <w:t>suspicious_dre_without_mri_lesion</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Abnormal DRE with negative MRI keeps clinical suspicion high — systematic 12-core biopsy per R03.</w:t>
            </w:r>
          </w:p>
        </w:tc>
      </w:tr>
    </w:tbl>
    <w:p>
      <w:r>
        <w:rPr>
          <w:rFonts w:ascii="Times New Roman" w:hAnsi="Times New Roman"/>
          <w:b/>
          <w:i w:val="0"/>
        </w:rPr>
        <w:t>Layer 2: risk-guided LightRAG retrieval.</w:t>
      </w:r>
      <w:r>
        <w:rPr>
          <w:rFonts w:ascii="Times New Roman" w:hAnsi="Times New Roman"/>
          <w:b w:val="0"/>
          <w:i w:val="0"/>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[42]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r>
        <w:rPr>
          <w:rFonts w:ascii="Times New Roman" w:hAnsi="Times New Roman"/>
          <w:b/>
          <w:i w:val="0"/>
        </w:rPr>
        <w:t>Layer 3: LLM arbitration.</w:t>
      </w:r>
      <w:r>
        <w:rPr>
          <w:rFonts w:ascii="Times New Roman" w:hAnsi="Times New Roman"/>
          <w:b w:val="0"/>
          <w:i w:val="0"/>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r>
        <w:rPr>
          <w:rFonts w:ascii="Times New Roman" w:hAnsi="Times New Roman"/>
          <w:b/>
          <w:i w:val="0"/>
        </w:rPr>
        <w:t>Alignment with external guidelines.</w:t>
      </w:r>
      <w:r>
        <w:rPr>
          <w:rFonts w:ascii="Times New Roman" w:hAnsi="Times New Roman"/>
          <w:b w:val="0"/>
          <w:i w:val="0"/>
        </w:rPr>
        <w:t xml:space="preserve"> The rule base was cross-checked against the EAU Prostate Cancer Guidelines [22] and the AUA/ASTRO Clinically Localized Prostate Cancer Guideline [23] and its 2026 Amendment [24]; all 16 rules are consistent with these documents at the action level (mpMRI before biopsy, image-quality gating of the biopsy decision, transperineal preference where available, risk-adapted antimicrobial prophylaxis, and ISUP grade-group–driven treatment-planning linkage). Where guideline wording diverges, the ProBIOPSY consensus governs, because the consensus serves as the evaluation gold standard; divergences are recorded in the per-rule rationale fields. External guideline text was deliberately excluded from the retrieval corpus: a single-source corpus preserves a controlled consensus-conformance evaluation (see Limitations) and avoids redistribution constraints attached to copyrighted guideline text. Guideline-level recommendations therefore enter the system through the rule layer's cross-check, not through retrieval.</w:t>
      </w:r>
    </w:p>
    <w:p>
      <w:pPr>
        <w:pStyle w:val="Heading2"/>
      </w:pPr>
      <w:r>
        <w:rPr>
          <w:b/>
        </w:rPr>
      </w:r>
      <w:r>
        <w:rPr>
          <w:rFonts w:ascii="Times New Roman" w:hAnsi="Times New Roman"/>
          <w:b w:val="0"/>
          <w:i w:val="0"/>
        </w:rPr>
        <w:t>Baseline methods</w:t>
      </w:r>
    </w:p>
    <w:p>
      <w:r>
        <w:rPr>
          <w:rFonts w:ascii="Times New Roman" w:hAnsi="Times New Roman"/>
          <w:b w:val="0"/>
          <w:i w:val="0"/>
        </w:rPr>
        <w:t xml:space="preserve">1. </w:t>
      </w:r>
      <w:r>
        <w:rPr>
          <w:rFonts w:ascii="Times New Roman" w:hAnsi="Times New Roman"/>
          <w:b/>
          <w:i w:val="0"/>
        </w:rPr>
        <w:t>pure_llm</w:t>
      </w:r>
      <w:r>
        <w:rPr>
          <w:rFonts w:ascii="Times New Roman" w:hAnsi="Times New Roman"/>
          <w:b w:val="0"/>
          <w:i w:val="0"/>
        </w:rPr>
        <w:t xml:space="preserve"> — question answered directly by the LLM with no retrieval and no rules;</w:t>
      </w:r>
    </w:p>
    <w:p>
      <w:r>
        <w:rPr>
          <w:rFonts w:ascii="Times New Roman" w:hAnsi="Times New Roman"/>
          <w:b w:val="0"/>
          <w:i w:val="0"/>
        </w:rPr>
        <w:t xml:space="preserve">2. </w:t>
      </w:r>
      <w:r>
        <w:rPr>
          <w:rFonts w:ascii="Times New Roman" w:hAnsi="Times New Roman"/>
          <w:b/>
          <w:i w:val="0"/>
        </w:rPr>
        <w:t>naive_rag</w:t>
      </w:r>
      <w:r>
        <w:rPr>
          <w:rFonts w:ascii="Times New Roman" w:hAnsi="Times New Roman"/>
          <w:b w:val="0"/>
          <w:i w:val="0"/>
        </w:rPr>
        <w:t xml:space="preserve"> — BM25-style lexical retrieval of top-6 chunks (mean 3,644 characters) inserted into the prompt;</w:t>
      </w:r>
    </w:p>
    <w:p>
      <w:r>
        <w:rPr>
          <w:rFonts w:ascii="Times New Roman" w:hAnsi="Times New Roman"/>
          <w:b w:val="0"/>
          <w:i w:val="0"/>
        </w:rPr>
        <w:t xml:space="preserve">3. </w:t>
      </w:r>
      <w:r>
        <w:rPr>
          <w:rFonts w:ascii="Times New Roman" w:hAnsi="Times New Roman"/>
          <w:b/>
          <w:i w:val="0"/>
        </w:rPr>
        <w:t>lightrag-only</w:t>
      </w:r>
      <w:r>
        <w:rPr>
          <w:rFonts w:ascii="Times New Roman" w:hAnsi="Times New Roman"/>
          <w:b w:val="0"/>
          <w:i w:val="0"/>
        </w:rPr>
        <w:t xml:space="preserve"> — end-to-end LightRAG hybrid-mode question answering (mean 2,468 characters), with no rule guidance and no hard constraints.</w:t>
      </w:r>
    </w:p>
    <w:p>
      <w:r>
        <w:rPr>
          <w:rFonts w:ascii="Times New Roman" w:hAnsi="Times New Roman"/>
          <w:b w:val="0"/>
          <w:i w:val="0"/>
        </w:rPr>
        <w:t>The full system uses a mean of 7,640 characters (graph + lexical), substantially more than the RAG baselines but bounded by a hard context budget.</w:t>
      </w:r>
    </w:p>
    <w:p>
      <w:pPr>
        <w:pStyle w:val="Heading2"/>
      </w:pPr>
      <w:r>
        <w:rPr>
          <w:b/>
        </w:rPr>
      </w:r>
      <w:r>
        <w:rPr>
          <w:rFonts w:ascii="Times New Roman" w:hAnsi="Times New Roman"/>
          <w:b w:val="0"/>
          <w:i w:val="0"/>
        </w:rPr>
        <w:t>Benchmark protocol</w:t>
      </w:r>
    </w:p>
    <w:p>
      <w:r>
        <w:rPr>
          <w:rFonts w:ascii="Times New Roman" w:hAnsi="Times New Roman"/>
          <w:b w:val="0"/>
          <w:i w:val="0"/>
        </w:rPr>
        <w:t xml:space="preserve">Four methods × five seeds (0–4; temperature 0.2) × 112 statements = </w:t>
      </w:r>
      <w:r>
        <w:rPr>
          <w:rFonts w:ascii="Times New Roman" w:hAnsi="Times New Roman"/>
          <w:b/>
          <w:i w:val="0"/>
        </w:rPr>
        <w:t>2,240 runs</w:t>
      </w:r>
      <w:r>
        <w:rPr>
          <w:rFonts w:ascii="Times New Roman" w:hAnsi="Times New Roman"/>
          <w:b w:val="0"/>
          <w:i w:val="0"/>
        </w:rPr>
        <w:t xml:space="preserve">, resumable by (method, seed, statement_id) key. </w:t>
      </w:r>
      <w:r>
        <w:rPr>
          <w:rFonts w:ascii="Times New Roman" w:hAnsi="Times New Roman"/>
          <w:b/>
          <w:i w:val="0"/>
        </w:rPr>
        <w:t>The generator was held fixed at GLM-5.3-Flash for all methods and seeds</w:t>
      </w:r>
      <w:r>
        <w:rPr>
          <w:rFonts w:ascii="Times New Roman" w:hAnsi="Times New Roman"/>
          <w:b w:val="0"/>
          <w:i w:val="0"/>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pStyle w:val="Heading2"/>
      </w:pPr>
      <w:r>
        <w:rPr>
          <w:b/>
        </w:rPr>
      </w:r>
      <w:r>
        <w:rPr>
          <w:rFonts w:ascii="Times New Roman" w:hAnsi="Times New Roman"/>
          <w:b w:val="0"/>
          <w:i w:val="0"/>
        </w:rPr>
        <w:t>Expert blinded review</w:t>
      </w:r>
    </w:p>
    <w:p>
      <w:r>
        <w:rPr>
          <w:rFonts w:ascii="Times New Roman" w:hAnsi="Times New Roman"/>
          <w:b w:val="0"/>
          <w:i w:val="0"/>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pStyle w:val="Heading2"/>
      </w:pPr>
      <w:r>
        <w:rPr>
          <w:b/>
        </w:rPr>
      </w:r>
      <w:r>
        <w:rPr>
          <w:rFonts w:ascii="Times New Roman" w:hAnsi="Times New Roman"/>
          <w:b w:val="0"/>
          <w:i w:val="0"/>
        </w:rPr>
        <w:t>Metrics</w:t>
      </w:r>
    </w:p>
    <w:p>
      <w:r>
        <w:rPr>
          <w:rFonts w:ascii="Times New Roman" w:hAnsi="Times New Roman"/>
          <w:b w:val="0"/>
          <w:i w:val="0"/>
        </w:rPr>
        <w:t>Exact-5-class accuracy (primary), exact-3 accuracy (collapsing endorse_option→endorse and report_option→conditional, to expose majority-class inflation), five-class macro-F1, Cohen's κ [45]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[46]. Context characters per run were logged as an efficiency metric.</w:t>
      </w:r>
    </w:p>
    <w:p>
      <w:pPr>
        <w:pStyle w:val="Heading2"/>
      </w:pPr>
      <w:r>
        <w:rPr>
          <w:b/>
        </w:rPr>
      </w:r>
      <w:r>
        <w:rPr>
          <w:rFonts w:ascii="Times New Roman" w:hAnsi="Times New Roman"/>
          <w:b w:val="0"/>
          <w:i w:val="0"/>
        </w:rPr>
        <w:t>Implementation and reproducibility</w:t>
      </w:r>
    </w:p>
    <w:p>
      <w:r>
        <w:rPr>
          <w:rFonts w:ascii="Times New Roman" w:hAnsi="Times New Roman"/>
          <w:b w:val="0"/>
          <w:i w:val="0"/>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(`index_built_against_rules_sha256`); the application UI verifies this digest against the live rule file to prevent silent index–rules divergence.</w:t>
      </w:r>
    </w:p>
    <w:p>
      <w:pPr>
        <w:pStyle w:val="Heading1"/>
      </w:pPr>
      <w:r>
        <w:rPr>
          <w:rFonts w:ascii="Times New Roman" w:hAnsi="Times New Roman"/>
          <w:b w:val="0"/>
          <w:i w:val="0"/>
        </w:rPr>
        <w:t>Results</w:t>
      </w:r>
    </w:p>
    <w:p>
      <w:pPr>
        <w:pStyle w:val="Heading2"/>
      </w:pPr>
      <w:r>
        <w:rPr>
          <w:b/>
        </w:rPr>
      </w:r>
      <w:r>
        <w:rPr>
          <w:rFonts w:ascii="Times New Roman" w:hAnsi="Times New Roman"/>
          <w:b w:val="0"/>
          <w:i w:val="0"/>
        </w:rPr>
        <w:t>Overview</w:t>
      </w:r>
    </w:p>
    <w:p>
      <w:r>
        <w:rPr>
          <w:rFonts w:ascii="Times New Roman" w:hAnsi="Times New Roman"/>
          <w:b w:val="0"/>
          <w:i w:val="0"/>
        </w:rPr>
        <w:t>All 2,240 runs (4 methods × 5 seeds × 112 statements) completed successfully with zero errors and zero degraded outputs. Table 3 reports the performance matrix; Figure 2 shows per-seed distributions.</w:t>
      </w:r>
    </w:p>
    <w:p>
      <w:r>
        <w:rPr>
          <w:rFonts w:ascii="Times New Roman" w:hAnsi="Times New Roman"/>
          <w:b/>
          <w:i w:val="0"/>
        </w:rPr>
        <w:t>Table 3.</w:t>
      </w:r>
      <w:r>
        <w:rPr>
          <w:rFonts w:ascii="Times New Roman" w:hAnsi="Times New Roman"/>
          <w:b w:val="0"/>
          <w:i w:val="0"/>
        </w:rPr>
        <w:t xml:space="preserve"> Benchmark performance matrix: mean ± SD over five seeds (560 runs per method; 2,240 total). Context = mean retrieved characters per run.</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spacing w:line="240" w:lineRule="auto"/>
            </w:pPr>
            <w:r>
              <w:rPr>
                <w:rFonts w:ascii="Times New Roman" w:hAnsi="Times New Roman"/>
                <w:b/>
                <w:i w:val="0"/>
                <w:sz w:val="18"/>
              </w:rPr>
              <w:t>method</w:t>
            </w:r>
          </w:p>
        </w:tc>
        <w:tc>
          <w:tcPr>
            <w:tcW w:type="dxa" w:w="1008"/>
          </w:tcPr>
          <w:p>
            <w:pPr>
              <w:spacing w:line="240" w:lineRule="auto"/>
            </w:pPr>
            <w:r>
              <w:rPr>
                <w:rFonts w:ascii="Times New Roman" w:hAnsi="Times New Roman"/>
                <w:b/>
                <w:i w:val="0"/>
                <w:sz w:val="18"/>
              </w:rPr>
              <w:t>exact5</w:t>
            </w:r>
          </w:p>
        </w:tc>
        <w:tc>
          <w:tcPr>
            <w:tcW w:type="dxa" w:w="1008"/>
          </w:tcPr>
          <w:p>
            <w:pPr>
              <w:spacing w:line="240" w:lineRule="auto"/>
            </w:pPr>
            <w:r>
              <w:rPr>
                <w:rFonts w:ascii="Times New Roman" w:hAnsi="Times New Roman"/>
                <w:b/>
                <w:i w:val="0"/>
                <w:sz w:val="18"/>
              </w:rPr>
              <w:t>exact3</w:t>
            </w:r>
          </w:p>
        </w:tc>
        <w:tc>
          <w:tcPr>
            <w:tcW w:type="dxa" w:w="1008"/>
          </w:tcPr>
          <w:p>
            <w:pPr>
              <w:spacing w:line="240" w:lineRule="auto"/>
            </w:pPr>
            <w:r>
              <w:rPr>
                <w:rFonts w:ascii="Times New Roman" w:hAnsi="Times New Roman"/>
                <w:b/>
                <w:i w:val="0"/>
                <w:sz w:val="18"/>
              </w:rPr>
              <w:t>macro_f1</w:t>
            </w:r>
          </w:p>
        </w:tc>
        <w:tc>
          <w:tcPr>
            <w:tcW w:type="dxa" w:w="1008"/>
          </w:tcPr>
          <w:p>
            <w:pPr>
              <w:spacing w:line="240" w:lineRule="auto"/>
            </w:pPr>
            <w:r>
              <w:rPr>
                <w:rFonts w:ascii="Times New Roman" w:hAnsi="Times New Roman"/>
                <w:b/>
                <w:i w:val="0"/>
                <w:sz w:val="18"/>
              </w:rPr>
              <w:t>cohens_kappa</w:t>
            </w:r>
          </w:p>
        </w:tc>
        <w:tc>
          <w:tcPr>
            <w:tcW w:type="dxa" w:w="1008"/>
          </w:tcPr>
          <w:p>
            <w:pPr>
              <w:spacing w:line="240" w:lineRule="auto"/>
            </w:pPr>
            <w:r>
              <w:rPr>
                <w:rFonts w:ascii="Times New Roman" w:hAnsi="Times New Roman"/>
                <w:b/>
                <w:i w:val="0"/>
                <w:sz w:val="18"/>
              </w:rPr>
              <w:t>against_sensitivity</w:t>
            </w:r>
          </w:p>
        </w:tc>
        <w:tc>
          <w:tcPr>
            <w:tcW w:type="dxa" w:w="1008"/>
          </w:tcPr>
          <w:p>
            <w:pPr>
              <w:spacing w:line="240" w:lineRule="auto"/>
            </w:pPr>
            <w:r>
              <w:rPr>
                <w:rFonts w:ascii="Times New Roman" w:hAnsi="Times New Roman"/>
                <w:b/>
                <w:i w:val="0"/>
                <w:sz w:val="18"/>
              </w:rPr>
              <w:t>against_specificity</w:t>
            </w:r>
          </w:p>
        </w:tc>
        <w:tc>
          <w:tcPr>
            <w:tcW w:type="dxa" w:w="1008"/>
          </w:tcPr>
          <w:p>
            <w:pPr>
              <w:spacing w:line="240" w:lineRule="auto"/>
            </w:pPr>
            <w:r>
              <w:rPr>
                <w:rFonts w:ascii="Times New Roman" w:hAnsi="Times New Roman"/>
                <w:b/>
                <w:i w:val="0"/>
                <w:sz w:val="18"/>
              </w:rPr>
              <w:t>against_f1</w:t>
            </w:r>
          </w:p>
        </w:tc>
        <w:tc>
          <w:tcPr>
            <w:tcW w:type="dxa" w:w="1008"/>
          </w:tcPr>
          <w:p>
            <w:pPr>
              <w:spacing w:line="240" w:lineRule="auto"/>
            </w:pPr>
            <w:r>
              <w:rPr>
                <w:rFonts w:ascii="Times New Roman" w:hAnsi="Times New Roman"/>
                <w:b/>
                <w:i w:val="0"/>
                <w:sz w:val="18"/>
              </w:rPr>
              <w:t>mean_context_chars</w:t>
            </w:r>
          </w:p>
        </w:tc>
      </w:tr>
      <w:tr>
        <w:tc>
          <w:tcPr>
            <w:tcW w:type="dxa" w:w="1008"/>
          </w:tcPr>
          <w:p>
            <w:pPr>
              <w:spacing w:line="240" w:lineRule="auto"/>
            </w:pPr>
            <w:r>
              <w:rPr>
                <w:rFonts w:ascii="Times New Roman" w:hAnsi="Times New Roman"/>
                <w:b w:val="0"/>
                <w:i w:val="0"/>
                <w:sz w:val="18"/>
              </w:rPr>
              <w:t>lightrag</w:t>
            </w:r>
          </w:p>
        </w:tc>
        <w:tc>
          <w:tcPr>
            <w:tcW w:type="dxa" w:w="1008"/>
          </w:tcPr>
          <w:p>
            <w:pPr>
              <w:spacing w:line="240" w:lineRule="auto"/>
            </w:pPr>
            <w:r>
              <w:rPr>
                <w:rFonts w:ascii="Times New Roman" w:hAnsi="Times New Roman"/>
                <w:b w:val="0"/>
                <w:i w:val="0"/>
                <w:sz w:val="18"/>
              </w:rPr>
              <w:t>0.613±0.013</w:t>
            </w:r>
          </w:p>
        </w:tc>
        <w:tc>
          <w:tcPr>
            <w:tcW w:type="dxa" w:w="1008"/>
          </w:tcPr>
          <w:p>
            <w:pPr>
              <w:spacing w:line="240" w:lineRule="auto"/>
            </w:pPr>
            <w:r>
              <w:rPr>
                <w:rFonts w:ascii="Times New Roman" w:hAnsi="Times New Roman"/>
                <w:b w:val="0"/>
                <w:i w:val="0"/>
                <w:sz w:val="18"/>
              </w:rPr>
              <w:t>0.920±0.013</w:t>
            </w:r>
          </w:p>
        </w:tc>
        <w:tc>
          <w:tcPr>
            <w:tcW w:type="dxa" w:w="1008"/>
          </w:tcPr>
          <w:p>
            <w:pPr>
              <w:spacing w:line="240" w:lineRule="auto"/>
            </w:pPr>
            <w:r>
              <w:rPr>
                <w:rFonts w:ascii="Times New Roman" w:hAnsi="Times New Roman"/>
                <w:b w:val="0"/>
                <w:i w:val="0"/>
                <w:sz w:val="18"/>
              </w:rPr>
              <w:t>0.536±0.012</w:t>
            </w:r>
          </w:p>
        </w:tc>
        <w:tc>
          <w:tcPr>
            <w:tcW w:type="dxa" w:w="1008"/>
          </w:tcPr>
          <w:p>
            <w:pPr>
              <w:spacing w:line="240" w:lineRule="auto"/>
            </w:pPr>
            <w:r>
              <w:rPr>
                <w:rFonts w:ascii="Times New Roman" w:hAnsi="Times New Roman"/>
                <w:b w:val="0"/>
                <w:i w:val="0"/>
                <w:sz w:val="18"/>
              </w:rPr>
              <w:t>0.525±0.012</w:t>
            </w:r>
          </w:p>
        </w:tc>
        <w:tc>
          <w:tcPr>
            <w:tcW w:type="dxa" w:w="1008"/>
          </w:tcPr>
          <w:p>
            <w:pPr>
              <w:spacing w:line="240" w:lineRule="auto"/>
            </w:pPr>
            <w:r>
              <w:rPr>
                <w:rFonts w:ascii="Times New Roman" w:hAnsi="Times New Roman"/>
                <w:b w:val="0"/>
                <w:i w:val="0"/>
                <w:sz w:val="18"/>
              </w:rPr>
              <w:t>1.000±0.000</w:t>
            </w:r>
          </w:p>
        </w:tc>
        <w:tc>
          <w:tcPr>
            <w:tcW w:type="dxa" w:w="1008"/>
          </w:tcPr>
          <w:p>
            <w:pPr>
              <w:spacing w:line="240" w:lineRule="auto"/>
            </w:pPr>
            <w:r>
              <w:rPr>
                <w:rFonts w:ascii="Times New Roman" w:hAnsi="Times New Roman"/>
                <w:b w:val="0"/>
                <w:i w:val="0"/>
                <w:sz w:val="18"/>
              </w:rPr>
              <w:t>0.922±0.017</w:t>
            </w:r>
          </w:p>
        </w:tc>
        <w:tc>
          <w:tcPr>
            <w:tcW w:type="dxa" w:w="1008"/>
          </w:tcPr>
          <w:p>
            <w:pPr>
              <w:spacing w:line="240" w:lineRule="auto"/>
            </w:pPr>
            <w:r>
              <w:rPr>
                <w:rFonts w:ascii="Times New Roman" w:hAnsi="Times New Roman"/>
                <w:b w:val="0"/>
                <w:i w:val="0"/>
                <w:sz w:val="18"/>
              </w:rPr>
              <w:t>0.881±0.023</w:t>
            </w:r>
          </w:p>
        </w:tc>
        <w:tc>
          <w:tcPr>
            <w:tcW w:type="dxa" w:w="1008"/>
          </w:tcPr>
          <w:p>
            <w:pPr>
              <w:spacing w:line="240" w:lineRule="auto"/>
            </w:pPr>
            <w:r>
              <w:rPr>
                <w:rFonts w:ascii="Times New Roman" w:hAnsi="Times New Roman"/>
                <w:b w:val="0"/>
                <w:i w:val="0"/>
                <w:sz w:val="18"/>
              </w:rPr>
              <w:t>2468</w:t>
            </w:r>
          </w:p>
        </w:tc>
      </w:tr>
      <w:tr>
        <w:tc>
          <w:tcPr>
            <w:tcW w:type="dxa" w:w="1008"/>
          </w:tcPr>
          <w:p>
            <w:pPr>
              <w:spacing w:line="240" w:lineRule="auto"/>
            </w:pPr>
            <w:r>
              <w:rPr>
                <w:rFonts w:ascii="Times New Roman" w:hAnsi="Times New Roman"/>
                <w:b w:val="0"/>
                <w:i w:val="0"/>
                <w:sz w:val="18"/>
              </w:rPr>
              <w:t>naive_rag</w:t>
            </w:r>
          </w:p>
        </w:tc>
        <w:tc>
          <w:tcPr>
            <w:tcW w:type="dxa" w:w="1008"/>
          </w:tcPr>
          <w:p>
            <w:pPr>
              <w:spacing w:line="240" w:lineRule="auto"/>
            </w:pPr>
            <w:r>
              <w:rPr>
                <w:rFonts w:ascii="Times New Roman" w:hAnsi="Times New Roman"/>
                <w:b w:val="0"/>
                <w:i w:val="0"/>
                <w:sz w:val="18"/>
              </w:rPr>
              <w:t>0.605±0.033</w:t>
            </w:r>
          </w:p>
        </w:tc>
        <w:tc>
          <w:tcPr>
            <w:tcW w:type="dxa" w:w="1008"/>
          </w:tcPr>
          <w:p>
            <w:pPr>
              <w:spacing w:line="240" w:lineRule="auto"/>
            </w:pPr>
            <w:r>
              <w:rPr>
                <w:rFonts w:ascii="Times New Roman" w:hAnsi="Times New Roman"/>
                <w:b w:val="0"/>
                <w:i w:val="0"/>
                <w:sz w:val="18"/>
              </w:rPr>
              <w:t>0.905±0.013</w:t>
            </w:r>
          </w:p>
        </w:tc>
        <w:tc>
          <w:tcPr>
            <w:tcW w:type="dxa" w:w="1008"/>
          </w:tcPr>
          <w:p>
            <w:pPr>
              <w:spacing w:line="240" w:lineRule="auto"/>
            </w:pPr>
            <w:r>
              <w:rPr>
                <w:rFonts w:ascii="Times New Roman" w:hAnsi="Times New Roman"/>
                <w:b w:val="0"/>
                <w:i w:val="0"/>
                <w:sz w:val="18"/>
              </w:rPr>
              <w:t>0.514±0.043</w:t>
            </w:r>
          </w:p>
        </w:tc>
        <w:tc>
          <w:tcPr>
            <w:tcW w:type="dxa" w:w="1008"/>
          </w:tcPr>
          <w:p>
            <w:pPr>
              <w:spacing w:line="240" w:lineRule="auto"/>
            </w:pPr>
            <w:r>
              <w:rPr>
                <w:rFonts w:ascii="Times New Roman" w:hAnsi="Times New Roman"/>
                <w:b w:val="0"/>
                <w:i w:val="0"/>
                <w:sz w:val="18"/>
              </w:rPr>
              <w:t>0.512±0.041</w:t>
            </w:r>
          </w:p>
        </w:tc>
        <w:tc>
          <w:tcPr>
            <w:tcW w:type="dxa" w:w="1008"/>
          </w:tcPr>
          <w:p>
            <w:pPr>
              <w:spacing w:line="240" w:lineRule="auto"/>
            </w:pPr>
            <w:r>
              <w:rPr>
                <w:rFonts w:ascii="Times New Roman" w:hAnsi="Times New Roman"/>
                <w:b w:val="0"/>
                <w:i w:val="0"/>
                <w:sz w:val="18"/>
              </w:rPr>
              <w:t>0.992±0.018</w:t>
            </w:r>
          </w:p>
        </w:tc>
        <w:tc>
          <w:tcPr>
            <w:tcW w:type="dxa" w:w="1008"/>
          </w:tcPr>
          <w:p>
            <w:pPr>
              <w:spacing w:line="240" w:lineRule="auto"/>
            </w:pPr>
            <w:r>
              <w:rPr>
                <w:rFonts w:ascii="Times New Roman" w:hAnsi="Times New Roman"/>
                <w:b w:val="0"/>
                <w:i w:val="0"/>
                <w:sz w:val="18"/>
              </w:rPr>
              <w:t>0.931±0.021</w:t>
            </w:r>
          </w:p>
        </w:tc>
        <w:tc>
          <w:tcPr>
            <w:tcW w:type="dxa" w:w="1008"/>
          </w:tcPr>
          <w:p>
            <w:pPr>
              <w:spacing w:line="240" w:lineRule="auto"/>
            </w:pPr>
            <w:r>
              <w:rPr>
                <w:rFonts w:ascii="Times New Roman" w:hAnsi="Times New Roman"/>
                <w:b w:val="0"/>
                <w:i w:val="0"/>
                <w:sz w:val="18"/>
              </w:rPr>
              <w:t>0.890±0.028</w:t>
            </w:r>
          </w:p>
        </w:tc>
        <w:tc>
          <w:tcPr>
            <w:tcW w:type="dxa" w:w="1008"/>
          </w:tcPr>
          <w:p>
            <w:pPr>
              <w:spacing w:line="240" w:lineRule="auto"/>
            </w:pPr>
            <w:r>
              <w:rPr>
                <w:rFonts w:ascii="Times New Roman" w:hAnsi="Times New Roman"/>
                <w:b w:val="0"/>
                <w:i w:val="0"/>
                <w:sz w:val="18"/>
              </w:rPr>
              <w:t>3644</w:t>
            </w:r>
          </w:p>
        </w:tc>
      </w:tr>
      <w:tr>
        <w:tc>
          <w:tcPr>
            <w:tcW w:type="dxa" w:w="1008"/>
          </w:tcPr>
          <w:p>
            <w:pPr>
              <w:spacing w:line="240" w:lineRule="auto"/>
            </w:pPr>
            <w:r>
              <w:rPr>
                <w:rFonts w:ascii="Times New Roman" w:hAnsi="Times New Roman"/>
                <w:b w:val="0"/>
                <w:i w:val="0"/>
                <w:sz w:val="18"/>
              </w:rPr>
              <w:t>full_system</w:t>
            </w:r>
          </w:p>
        </w:tc>
        <w:tc>
          <w:tcPr>
            <w:tcW w:type="dxa" w:w="1008"/>
          </w:tcPr>
          <w:p>
            <w:pPr>
              <w:spacing w:line="240" w:lineRule="auto"/>
            </w:pPr>
            <w:r>
              <w:rPr>
                <w:rFonts w:ascii="Times New Roman" w:hAnsi="Times New Roman"/>
                <w:b w:val="0"/>
                <w:i w:val="0"/>
                <w:sz w:val="18"/>
              </w:rPr>
              <w:t>0.805±0.012</w:t>
            </w:r>
          </w:p>
        </w:tc>
        <w:tc>
          <w:tcPr>
            <w:tcW w:type="dxa" w:w="1008"/>
          </w:tcPr>
          <w:p>
            <w:pPr>
              <w:spacing w:line="240" w:lineRule="auto"/>
            </w:pPr>
            <w:r>
              <w:rPr>
                <w:rFonts w:ascii="Times New Roman" w:hAnsi="Times New Roman"/>
                <w:b w:val="0"/>
                <w:i w:val="0"/>
                <w:sz w:val="18"/>
              </w:rPr>
              <w:t>0.823±0.012</w:t>
            </w:r>
          </w:p>
        </w:tc>
        <w:tc>
          <w:tcPr>
            <w:tcW w:type="dxa" w:w="1008"/>
          </w:tcPr>
          <w:p>
            <w:pPr>
              <w:spacing w:line="240" w:lineRule="auto"/>
            </w:pPr>
            <w:r>
              <w:rPr>
                <w:rFonts w:ascii="Times New Roman" w:hAnsi="Times New Roman"/>
                <w:b w:val="0"/>
                <w:i w:val="0"/>
                <w:sz w:val="18"/>
              </w:rPr>
              <w:t>0.825±0.022</w:t>
            </w:r>
          </w:p>
        </w:tc>
        <w:tc>
          <w:tcPr>
            <w:tcW w:type="dxa" w:w="1008"/>
          </w:tcPr>
          <w:p>
            <w:pPr>
              <w:spacing w:line="240" w:lineRule="auto"/>
            </w:pPr>
            <w:r>
              <w:rPr>
                <w:rFonts w:ascii="Times New Roman" w:hAnsi="Times New Roman"/>
                <w:b w:val="0"/>
                <w:i w:val="0"/>
                <w:sz w:val="18"/>
              </w:rPr>
              <w:t>0.730±0.016</w:t>
            </w:r>
          </w:p>
        </w:tc>
        <w:tc>
          <w:tcPr>
            <w:tcW w:type="dxa" w:w="1008"/>
          </w:tcPr>
          <w:p>
            <w:pPr>
              <w:spacing w:line="240" w:lineRule="auto"/>
            </w:pPr>
            <w:r>
              <w:rPr>
                <w:rFonts w:ascii="Times New Roman" w:hAnsi="Times New Roman"/>
                <w:b w:val="0"/>
                <w:i w:val="0"/>
                <w:sz w:val="18"/>
              </w:rPr>
              <w:t>0.872±0.018</w:t>
            </w:r>
          </w:p>
        </w:tc>
        <w:tc>
          <w:tcPr>
            <w:tcW w:type="dxa" w:w="1008"/>
          </w:tcPr>
          <w:p>
            <w:pPr>
              <w:spacing w:line="240" w:lineRule="auto"/>
            </w:pPr>
            <w:r>
              <w:rPr>
                <w:rFonts w:ascii="Times New Roman" w:hAnsi="Times New Roman"/>
                <w:b w:val="0"/>
                <w:i w:val="0"/>
                <w:sz w:val="18"/>
              </w:rPr>
              <w:t>0.986±0.010</w:t>
            </w:r>
          </w:p>
        </w:tc>
        <w:tc>
          <w:tcPr>
            <w:tcW w:type="dxa" w:w="1008"/>
          </w:tcPr>
          <w:p>
            <w:pPr>
              <w:spacing w:line="240" w:lineRule="auto"/>
            </w:pPr>
            <w:r>
              <w:rPr>
                <w:rFonts w:ascii="Times New Roman" w:hAnsi="Times New Roman"/>
                <w:b w:val="0"/>
                <w:i w:val="0"/>
                <w:sz w:val="18"/>
              </w:rPr>
              <w:t>0.908±0.023</w:t>
            </w:r>
          </w:p>
        </w:tc>
        <w:tc>
          <w:tcPr>
            <w:tcW w:type="dxa" w:w="1008"/>
          </w:tcPr>
          <w:p>
            <w:pPr>
              <w:spacing w:line="240" w:lineRule="auto"/>
            </w:pPr>
            <w:r>
              <w:rPr>
                <w:rFonts w:ascii="Times New Roman" w:hAnsi="Times New Roman"/>
                <w:b w:val="0"/>
                <w:i w:val="0"/>
                <w:sz w:val="18"/>
              </w:rPr>
              <w:t>7640</w:t>
            </w:r>
          </w:p>
        </w:tc>
      </w:tr>
      <w:tr>
        <w:tc>
          <w:tcPr>
            <w:tcW w:type="dxa" w:w="1008"/>
          </w:tcPr>
          <w:p>
            <w:pPr>
              <w:spacing w:line="240" w:lineRule="auto"/>
            </w:pPr>
            <w:r>
              <w:rPr>
                <w:rFonts w:ascii="Times New Roman" w:hAnsi="Times New Roman"/>
                <w:b w:val="0"/>
                <w:i w:val="0"/>
                <w:sz w:val="18"/>
              </w:rPr>
              <w:t>pure_llm</w:t>
            </w:r>
          </w:p>
        </w:tc>
        <w:tc>
          <w:tcPr>
            <w:tcW w:type="dxa" w:w="1008"/>
          </w:tcPr>
          <w:p>
            <w:pPr>
              <w:spacing w:line="240" w:lineRule="auto"/>
            </w:pPr>
            <w:r>
              <w:rPr>
                <w:rFonts w:ascii="Times New Roman" w:hAnsi="Times New Roman"/>
                <w:b w:val="0"/>
                <w:i w:val="0"/>
                <w:sz w:val="18"/>
              </w:rPr>
              <w:t>0.304±0.039</w:t>
            </w:r>
          </w:p>
        </w:tc>
        <w:tc>
          <w:tcPr>
            <w:tcW w:type="dxa" w:w="1008"/>
          </w:tcPr>
          <w:p>
            <w:pPr>
              <w:spacing w:line="240" w:lineRule="auto"/>
            </w:pPr>
            <w:r>
              <w:rPr>
                <w:rFonts w:ascii="Times New Roman" w:hAnsi="Times New Roman"/>
                <w:b w:val="0"/>
                <w:i w:val="0"/>
                <w:sz w:val="18"/>
              </w:rPr>
              <w:t>0.370±0.029</w:t>
            </w:r>
          </w:p>
        </w:tc>
        <w:tc>
          <w:tcPr>
            <w:tcW w:type="dxa" w:w="1008"/>
          </w:tcPr>
          <w:p>
            <w:pPr>
              <w:spacing w:line="240" w:lineRule="auto"/>
            </w:pPr>
            <w:r>
              <w:rPr>
                <w:rFonts w:ascii="Times New Roman" w:hAnsi="Times New Roman"/>
                <w:b w:val="0"/>
                <w:i w:val="0"/>
                <w:sz w:val="18"/>
              </w:rPr>
              <w:t>0.254±0.029</w:t>
            </w:r>
          </w:p>
        </w:tc>
        <w:tc>
          <w:tcPr>
            <w:tcW w:type="dxa" w:w="1008"/>
          </w:tcPr>
          <w:p>
            <w:pPr>
              <w:spacing w:line="240" w:lineRule="auto"/>
            </w:pPr>
            <w:r>
              <w:rPr>
                <w:rFonts w:ascii="Times New Roman" w:hAnsi="Times New Roman"/>
                <w:b w:val="0"/>
                <w:i w:val="0"/>
                <w:sz w:val="18"/>
              </w:rPr>
              <w:t>0.079±0.053</w:t>
            </w:r>
          </w:p>
        </w:tc>
        <w:tc>
          <w:tcPr>
            <w:tcW w:type="dxa" w:w="1008"/>
          </w:tcPr>
          <w:p>
            <w:pPr>
              <w:spacing w:line="240" w:lineRule="auto"/>
            </w:pPr>
            <w:r>
              <w:rPr>
                <w:rFonts w:ascii="Times New Roman" w:hAnsi="Times New Roman"/>
                <w:b w:val="0"/>
                <w:i w:val="0"/>
                <w:sz w:val="18"/>
              </w:rPr>
              <w:t>0.416±0.083</w:t>
            </w:r>
          </w:p>
        </w:tc>
        <w:tc>
          <w:tcPr>
            <w:tcW w:type="dxa" w:w="1008"/>
          </w:tcPr>
          <w:p>
            <w:pPr>
              <w:spacing w:line="240" w:lineRule="auto"/>
            </w:pPr>
            <w:r>
              <w:rPr>
                <w:rFonts w:ascii="Times New Roman" w:hAnsi="Times New Roman"/>
                <w:b w:val="0"/>
                <w:i w:val="0"/>
                <w:sz w:val="18"/>
              </w:rPr>
              <w:t>0.720±0.021</w:t>
            </w:r>
          </w:p>
        </w:tc>
        <w:tc>
          <w:tcPr>
            <w:tcW w:type="dxa" w:w="1008"/>
          </w:tcPr>
          <w:p>
            <w:pPr>
              <w:spacing w:line="240" w:lineRule="auto"/>
            </w:pPr>
            <w:r>
              <w:rPr>
                <w:rFonts w:ascii="Times New Roman" w:hAnsi="Times New Roman"/>
                <w:b w:val="0"/>
                <w:i w:val="0"/>
                <w:sz w:val="18"/>
              </w:rPr>
              <w:t>0.346±0.053</w:t>
            </w:r>
          </w:p>
        </w:tc>
        <w:tc>
          <w:tcPr>
            <w:tcW w:type="dxa" w:w="1008"/>
          </w:tcPr>
          <w:p>
            <w:pPr>
              <w:spacing w:line="240" w:lineRule="auto"/>
            </w:pPr>
            <w:r>
              <w:rPr>
                <w:rFonts w:ascii="Times New Roman" w:hAnsi="Times New Roman"/>
                <w:b w:val="0"/>
                <w:i w:val="0"/>
                <w:sz w:val="18"/>
              </w:rPr>
              <w:t>0</w:t>
            </w:r>
          </w:p>
        </w:tc>
      </w:tr>
    </w:tbl>
    <w:p>
      <w:pPr>
        <w:pStyle w:val="Heading2"/>
      </w:pPr>
      <w:r>
        <w:rPr>
          <w:b/>
        </w:rPr>
      </w:r>
      <w:r>
        <w:rPr>
          <w:rFonts w:ascii="Times New Roman" w:hAnsi="Times New Roman"/>
          <w:b w:val="0"/>
          <w:i w:val="0"/>
        </w:rPr>
        <w:t>Headline performance (Table 3, Figure 2)</w:t>
      </w:r>
    </w:p>
    <w:p>
      <w:r>
        <w:rPr>
          <w:rFonts w:ascii="Times New Roman" w:hAnsi="Times New Roman"/>
          <w:b w:val="0"/>
          <w:i w:val="0"/>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b/>
          <w:i w:val="0"/>
        </w:rPr>
        <w:t>+19.2 percentage points exact-5 and +0.205 κ</w:t>
      </w:r>
      <w:r>
        <w:rPr>
          <w:rFonts w:ascii="Times New Roman" w:hAnsi="Times New Roman"/>
          <w:b w:val="0"/>
          <w:i w:val="0"/>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pStyle w:val="Heading2"/>
      </w:pPr>
      <w:r>
        <w:rPr>
          <w:b/>
        </w:rPr>
      </w:r>
      <w:r>
        <w:rPr>
          <w:rFonts w:ascii="Times New Roman" w:hAnsi="Times New Roman"/>
          <w:b w:val="0"/>
          <w:i w:val="0"/>
        </w:rPr>
        <w:t>Baselines collapse onto frequent classes (Figure 2C)</w:t>
      </w:r>
    </w:p>
    <w:p>
      <w:r>
        <w:rPr>
          <w:rFonts w:ascii="Times New Roman" w:hAnsi="Times New Roman"/>
          <w:b w:val="0"/>
          <w:i w:val="0"/>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b/>
          <w:i w:val="0"/>
        </w:rPr>
        <w:t>conditional 3</w:t>
      </w:r>
      <w:r>
        <w:rPr>
          <w:rFonts w:ascii="Times New Roman" w:hAnsi="Times New Roman"/>
          <w:b w:val="0"/>
          <w:i w:val="0"/>
        </w:rPr>
        <w:t xml:space="preserve">; naive RAG: endorse 175, report_option 165, against 154, endorse_option 60, </w:t>
      </w:r>
      <w:r>
        <w:rPr>
          <w:rFonts w:ascii="Times New Roman" w:hAnsi="Times New Roman"/>
          <w:b/>
          <w:i w:val="0"/>
        </w:rPr>
        <w:t>conditional 6</w:t>
      </w:r>
      <w:r>
        <w:rPr>
          <w:rFonts w:ascii="Times New Roman" w:hAnsi="Times New Roman"/>
          <w:b w:val="0"/>
          <w:i w:val="0"/>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b w:val="0"/>
          <w:i/>
        </w:rPr>
        <w:t>conditional endorsement</w:t>
      </w:r>
      <w:r>
        <w:rPr>
          <w:rFonts w:ascii="Times New Roman" w:hAnsi="Times New Roman"/>
          <w:b w:val="0"/>
          <w:i w:val="0"/>
        </w:rPr>
        <w:t xml:space="preserve"> and </w:t>
      </w:r>
      <w:r>
        <w:rPr>
          <w:rFonts w:ascii="Times New Roman" w:hAnsi="Times New Roman"/>
          <w:b w:val="0"/>
          <w:i/>
        </w:rPr>
        <w:t>equivalent-option endorsement</w:t>
      </w:r>
      <w:r>
        <w:rPr>
          <w:rFonts w:ascii="Times New Roman" w:hAnsi="Times New Roman"/>
          <w:b w:val="0"/>
          <w:i w:val="0"/>
        </w:rPr>
        <w:t xml:space="preserve"> — the two actions most critical for nuanced clinical communication — emitting them in 0.5–1.1% of runs versus 17.0% and 6.8% for the full system, and no baseline places them in the right places (κ 0.730 versus ~0.52).</w:t>
      </w:r>
    </w:p>
    <w:p>
      <w:pPr>
        <w:pStyle w:val="Heading2"/>
      </w:pPr>
      <w:r>
        <w:rPr>
          <w:b/>
        </w:rPr>
      </w:r>
      <w:r>
        <w:rPr>
          <w:rFonts w:ascii="Times New Roman" w:hAnsi="Times New Roman"/>
          <w:b w:val="0"/>
          <w:i w:val="0"/>
        </w:rPr>
        <w:t>Against-class behaviour: safe vetoing</w:t>
      </w:r>
    </w:p>
    <w:p>
      <w:r>
        <w:rPr>
          <w:rFonts w:ascii="Times New Roman" w:hAnsi="Times New Roman"/>
          <w:b w:val="0"/>
          <w:i w:val="0"/>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pStyle w:val="Heading2"/>
      </w:pPr>
      <w:r>
        <w:rPr>
          <w:b/>
        </w:rPr>
      </w:r>
      <w:r>
        <w:rPr>
          <w:rFonts w:ascii="Times New Roman" w:hAnsi="Times New Roman"/>
          <w:b w:val="0"/>
          <w:i w:val="0"/>
        </w:rPr>
        <w:t>Residual errors: conditional endorsement is the hardest class</w:t>
      </w:r>
    </w:p>
    <w:p>
      <w:r>
        <w:rPr>
          <w:rFonts w:ascii="Times New Roman" w:hAnsi="Times New Roman"/>
          <w:b w:val="0"/>
          <w:i w:val="0"/>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pStyle w:val="Heading2"/>
      </w:pPr>
      <w:r>
        <w:rPr>
          <w:b/>
        </w:rPr>
      </w:r>
      <w:r>
        <w:rPr>
          <w:rFonts w:ascii="Times New Roman" w:hAnsi="Times New Roman"/>
          <w:b w:val="0"/>
          <w:i w:val="0"/>
        </w:rPr>
        <w:t>Generator tier does not rescue baseline architectures (supplementary experiment)</w:t>
      </w:r>
    </w:p>
    <w:p>
      <w:r>
        <w:rPr>
          <w:rFonts w:ascii="Times New Roman" w:hAnsi="Times New Roman"/>
          <w:b w:val="0"/>
          <w:i w:val="0"/>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b w:val="0"/>
          <w:i/>
        </w:rPr>
        <w:t>architecture</w:t>
      </w:r>
      <w:r>
        <w:rPr>
          <w:rFonts w:ascii="Times New Roman" w:hAnsi="Times New Roman"/>
          <w:b w:val="0"/>
          <w:i w:val="0"/>
        </w:rPr>
        <w:t xml:space="preserve"> — not model selection — as the differentiator.</w:t>
      </w:r>
    </w:p>
    <w:p>
      <w:pPr>
        <w:pStyle w:val="Heading2"/>
      </w:pPr>
      <w:r>
        <w:rPr>
          <w:b/>
        </w:rPr>
      </w:r>
      <w:r>
        <w:rPr>
          <w:rFonts w:ascii="Times New Roman" w:hAnsi="Times New Roman"/>
          <w:b w:val="0"/>
          <w:i w:val="0"/>
        </w:rPr>
        <w:t>Domain breakdown (Table 4)</w:t>
      </w:r>
    </w:p>
    <w:p>
      <w:r>
        <w:rPr>
          <w:rFonts w:ascii="Times New Roman" w:hAnsi="Times New Roman"/>
          <w:b w:val="0"/>
          <w:i w:val="0"/>
        </w:rPr>
        <w:t>Against-class density varies sharply by domain (indication 8.7%, procedure 14.7%, treatment planning 32.7%). The full system retains its overall advantage in the against-densest domain; per-domain confusion matrices are provided in Supplementary Table S1.</w:t>
      </w:r>
    </w:p>
    <w:p>
      <w:pPr>
        <w:pStyle w:val="Heading2"/>
      </w:pPr>
      <w:r>
        <w:rPr>
          <w:b/>
        </w:rPr>
      </w:r>
      <w:r>
        <w:rPr>
          <w:rFonts w:ascii="Times New Roman" w:hAnsi="Times New Roman"/>
          <w:b w:val="0"/>
          <w:i w:val="0"/>
        </w:rPr>
        <w:t>Demonstration cases (Figures 4, 5)</w:t>
      </w:r>
    </w:p>
    <w:p>
      <w:r>
        <w:rPr>
          <w:rFonts w:ascii="Times New Roman" w:hAnsi="Times New Roman"/>
          <w:b w:val="0"/>
          <w:i w:val="0"/>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pStyle w:val="Heading2"/>
      </w:pPr>
      <w:r>
        <w:rPr>
          <w:b/>
        </w:rPr>
      </w:r>
      <w:r>
        <w:rPr>
          <w:rFonts w:ascii="Times New Roman" w:hAnsi="Times New Roman"/>
          <w:b w:val="0"/>
          <w:i w:val="0"/>
        </w:rPr>
        <w:t>Face validity: four-expert blinded review (Figure 3)</w:t>
      </w:r>
    </w:p>
    <w:p>
      <w:r>
        <w:rPr>
          <w:rFonts w:ascii="Times New Roman" w:hAnsi="Times New Roman"/>
          <w:b w:val="0"/>
          <w:i w:val="0"/>
        </w:rPr>
        <w:t>Experts agreed with each other substantially: raw agreement 17/20 ratings, with per-case modal share 4/4 in three cases, 3/4 in one (case 2), and a 2:2 split in case 1 (Figure 3A). The overall Fleiss κ [47] of −0.09 reflects the known instability of κ under uneven category marginals at this sample size — the agreement paradox described by Feinstein and Cicchetti — rather than poor agreement [48].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pStyle w:val="Heading2"/>
      </w:pPr>
      <w:r>
        <w:rPr>
          <w:b/>
        </w:rPr>
      </w:r>
      <w:r>
        <w:rPr>
          <w:rFonts w:ascii="Times New Roman" w:hAnsi="Times New Roman"/>
          <w:b w:val="0"/>
          <w:i w:val="0"/>
        </w:rPr>
        <w:t>Runtime cost</w:t>
      </w:r>
    </w:p>
    <w:p>
      <w:r>
        <w:rPr>
          <w:rFonts w:ascii="Times New Roman" w:hAnsi="Times New Roman"/>
          <w:b w:val="0"/>
          <w:i w:val="0"/>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pStyle w:val="Heading1"/>
      </w:pPr>
      <w:r>
        <w:rPr>
          <w:rFonts w:ascii="Times New Roman" w:hAnsi="Times New Roman"/>
          <w:b w:val="0"/>
          <w:i w:val="0"/>
        </w:rPr>
        <w:t>Discussion</w:t>
      </w:r>
    </w:p>
    <w:p>
      <w:pPr>
        <w:pStyle w:val="Heading2"/>
      </w:pPr>
      <w:r>
        <w:rPr>
          <w:b/>
        </w:rPr>
      </w:r>
      <w:r>
        <w:rPr>
          <w:rFonts w:ascii="Times New Roman" w:hAnsi="Times New Roman"/>
          <w:b w:val="0"/>
          <w:i w:val="0"/>
        </w:rPr>
        <w:t>Principal findings</w:t>
      </w:r>
    </w:p>
    <w:p>
      <w:r>
        <w:rPr>
          <w:rFonts w:ascii="Times New Roman" w:hAnsi="Times New Roman"/>
          <w:b w:val="0"/>
          <w:i w:val="0"/>
        </w:rPr>
        <w:t xml:space="preserve">Under a fixed generator, multi-method, multi-seed benchmarking, this study answers a precise question: </w:t>
      </w:r>
      <w:r>
        <w:rPr>
          <w:rFonts w:ascii="Times New Roman" w:hAnsi="Times New Roman"/>
          <w:b/>
          <w:i w:val="0"/>
        </w:rPr>
        <w:t>performance differences in prostate-biopsy decision support come primarily from architecture, not from the model.</w:t>
      </w:r>
      <w:r>
        <w:rPr>
          <w:rFonts w:ascii="Times New Roman" w:hAnsi="Times New Roman"/>
          <w:b w:val="0"/>
          <w:i w:val="0"/>
        </w:rPr>
        <w:t xml:space="preserve"> Three evidence chains converge: (i) the full system reached exact-5 0.805 / κ 0.730, +19.2 points over the strongest baseline; (ii) both RAG baselines nominally "beat" the full system on coarse exact-3 accuracy while collapsing onto three frequent classes — conditional was actively emitted 9 times in 1,120 retrieval-baseline runs (0.8%; pure LLM 14 times in 560) versus 17.0% for the full system; and (iii) upgrading the generator tier made naive RAG </w:t>
      </w:r>
      <w:r>
        <w:rPr>
          <w:rFonts w:ascii="Times New Roman" w:hAnsi="Times New Roman"/>
          <w:b w:val="0"/>
          <w:i/>
        </w:rPr>
        <w:t>worse</w:t>
      </w:r>
      <w:r>
        <w:rPr>
          <w:rFonts w:ascii="Times New Roman" w:hAnsi="Times New Roman"/>
          <w:b w:val="0"/>
          <w:i w:val="0"/>
        </w:rPr>
        <w:t xml:space="preserve"> (exact-5 0.605 → 0.538). Fine-grained clinical action-space competence must be built into the system architecture — rule-derived class priors and hard constraints — and cannot be prompted back in.</w:t>
      </w:r>
    </w:p>
    <w:p>
      <w:pPr>
        <w:pStyle w:val="Heading2"/>
      </w:pPr>
      <w:r>
        <w:rPr>
          <w:b/>
        </w:rPr>
      </w:r>
      <w:r>
        <w:rPr>
          <w:rFonts w:ascii="Times New Roman" w:hAnsi="Times New Roman"/>
          <w:b w:val="0"/>
          <w:i w:val="0"/>
        </w:rPr>
        <w:t>Relation to prior work</w:t>
      </w:r>
    </w:p>
    <w:p>
      <w:r>
        <w:rPr>
          <w:rFonts w:ascii="Times New Roman" w:hAnsi="Times New Roman"/>
          <w:b w:val="0"/>
          <w:i w:val="0"/>
        </w:rPr>
        <w:t xml:space="preserve">Large language models are approaching expert-level medical question answering [31] and have generated patient-facing responses rated as more empathetic than physician responses [49]; for constrained, auditable decision support, however, our results indicate that decision architecture — not model capability — is the dominant lever. Medical RAG benchmarks such as MIRAGE [40] evaluate open-question answering accuracy, typically multiple-choice or free text; we instead map an international consensus' final statements onto five executable actions and evaluate </w:t>
      </w:r>
      <w:r>
        <w:rPr>
          <w:rFonts w:ascii="Times New Roman" w:hAnsi="Times New Roman"/>
          <w:b w:val="0"/>
          <w:i/>
        </w:rPr>
        <w:t>guideline conformance</w:t>
      </w:r>
      <w:r>
        <w:rPr>
          <w:rFonts w:ascii="Times New Roman" w:hAnsi="Times New Roman"/>
          <w:b w:val="0"/>
          <w:i w:val="0"/>
        </w:rPr>
        <w:t>, a property closer to clinical governance needs. Relative to GraphRAG [43] and LightRAG [42], our contribution is system-level: LightRAG remains the evidence engine, but the lightrag-only baseline demonstrates exactly what happens without a rule layer — against over-calling (sensitivity 1.000, specificity 0.922) and conditional silence. Relative to rule-based CDSS [27], our architecture compresses the auditable rule base to 16 consensus rules and delegates long-tail knowledge to graph retrieval, coupling the two via hard constraints rather than parallel voting.</w:t>
      </w:r>
    </w:p>
    <w:p>
      <w:r>
        <w:rPr>
          <w:rFonts w:ascii="Times New Roman" w:hAnsi="Times New Roman"/>
          <w:b w:val="0"/>
          <w:i w:val="0"/>
        </w:rPr>
        <w:t>The closest contemporaries are the domain LLM agents now appearing across medicine. PULSE, an agent for atrial-fibrillation patient self-management [34], and its hypertension analogue [35], demonstrate that retrieval plus prompt optimisation raises Likert-rated response quality across several base models; an EHR-integrated agent personalises prostate-cancer patient education [36]; GeneAgent adds self-verification over domain databases for gene-set analysis [38]. Our results explain why such gains do not automatically transfer to procedural decision support. First, their evaluation endpoint — perceived response quality — does not measure guideline conformance; a fluent and empathetic answer can still misplace a veto. Second, their safeguards are prompt-level: reflection and consistency checks persuade but do not bind, whereas hard-constrained arbitration mechanically forbids non-compliant outputs and is the only configuration that places the two nuance-bearing actions correctly. Third, these agents are patient-facing information tools, whereas QianLieAnHui is a clinician-facing procedural instrument benchmarked against 112 verifiable consensus statements with multi-seed statistics and architecture ablation — an evaluation style closer to diagnostic-test validation than to user-satisfaction scoring.</w:t>
      </w:r>
    </w:p>
    <w:p>
      <w:r>
        <w:rPr>
          <w:rFonts w:ascii="Times New Roman" w:hAnsi="Times New Roman"/>
          <w:b w:val="0"/>
          <w:i w:val="0"/>
        </w:rPr>
        <w:t>The system's decision points sit squarely on the consensus of current guidelines. The EAU recommends mpMRI before biopsy, MRI-targeted sampling, risk-adapted antimicrobial prophylaxis, and transperineal access where available [22]; the AUA/ASTRO guideline and its 2026 Amendment converge on the same action-level recommendations for localized disease [23,24]. The underlying trial evidence is recent and consolidating — randomised evidence on transperineal access [6], an RCT meta-analysis across imaging-targeted and non-targeted settings [7], and targeted prophylaxis studies [8] — which is precisely why the rule base encodes only the stable decision skeleton while the updating periphery lives in retrieval: as trial evidence shifts practice, the retrieval corpus and index can be rebuilt without touching the rule layer, and the SHA-256 version-integrity check makes that coupling explicit. This division of labour also mirrors how the pathway's pain points are actually experienced at the biopsy table: the safety-critical contextual calls (route, prophylaxis, scheme) are enforced mechanically rather than left to prompt compliance; image-quality and reader-variability dependence [16] is carried as explicit scenario flags; grade-discordance-aware treatment planning [13] is anchored by the largest statement domain; and the complication burden that motivates conservatism [50] is reflected in the system's mechanically enforced veto behaviour rather than in optimism.</w:t>
      </w:r>
    </w:p>
    <w:p>
      <w:pPr>
        <w:pStyle w:val="Heading2"/>
      </w:pPr>
      <w:r>
        <w:rPr>
          <w:b/>
        </w:rPr>
      </w:r>
      <w:r>
        <w:rPr>
          <w:rFonts w:ascii="Times New Roman" w:hAnsi="Times New Roman"/>
          <w:b w:val="0"/>
          <w:i w:val="0"/>
        </w:rPr>
        <w:t>Clinical implications</w:t>
      </w:r>
    </w:p>
    <w:p>
      <w:r>
        <w:rPr>
          <w:rFonts w:ascii="Times New Roman" w:hAnsi="Times New Roman"/>
          <w:b w:val="0"/>
          <w:i w:val="0"/>
        </w:rPr>
        <w:t xml:space="preserve">The system is not designed to replace clinician judgement; its value is governability: (1) </w:t>
      </w:r>
      <w:r>
        <w:rPr>
          <w:rFonts w:ascii="Times New Roman" w:hAnsi="Times New Roman"/>
          <w:b/>
          <w:i w:val="0"/>
        </w:rPr>
        <w:t>safe vetoing</w:t>
      </w:r>
      <w:r>
        <w:rPr>
          <w:rFonts w:ascii="Times New Roman" w:hAnsi="Times New Roman"/>
          <w:b w:val="0"/>
          <w:i w:val="0"/>
        </w:rPr>
        <w:t xml:space="preserve"> — against-F1 0.908 with specificity 0.986 means the system "dares to dissent but rarely over-dissents", a behaviour mechanically enforced by requiring rule or evidence support for any veto; (2) </w:t>
      </w:r>
      <w:r>
        <w:rPr>
          <w:rFonts w:ascii="Times New Roman" w:hAnsi="Times New Roman"/>
          <w:b/>
          <w:i w:val="0"/>
        </w:rPr>
        <w:t>full traceability</w:t>
      </w:r>
      <w:r>
        <w:rPr>
          <w:rFonts w:ascii="Times New Roman" w:hAnsi="Times New Roman"/>
          <w:b w:val="0"/>
          <w:i w:val="0"/>
        </w:rPr>
        <w:t xml:space="preserve"> — every output carries Q-codes, triggered rules, and evidence-chunk citations, enabling governance audits that pure-LLM pipelines cannot provide; (3) </w:t>
      </w:r>
      <w:r>
        <w:rPr>
          <w:rFonts w:ascii="Times New Roman" w:hAnsi="Times New Roman"/>
          <w:b/>
          <w:i w:val="0"/>
        </w:rPr>
        <w:t>version integrity</w:t>
      </w:r>
      <w:r>
        <w:rPr>
          <w:rFonts w:ascii="Times New Roman" w:hAnsi="Times New Roman"/>
          <w:b w:val="0"/>
          <w:i w:val="0"/>
        </w:rPr>
        <w:t xml:space="preserve"> — the rule-file SHA-256 recorded at index build and verified live by the UI prevents the classic CDSS failure mode of a silently stale knowledge base [25].</w:t>
      </w:r>
    </w:p>
    <w:p>
      <w:pPr>
        <w:pStyle w:val="Heading2"/>
      </w:pPr>
      <w:r>
        <w:rPr>
          <w:b/>
        </w:rPr>
      </w:r>
      <w:r>
        <w:rPr>
          <w:rFonts w:ascii="Times New Roman" w:hAnsi="Times New Roman"/>
          <w:b w:val="0"/>
          <w:i w:val="0"/>
        </w:rPr>
        <w:t>Limitations</w:t>
      </w:r>
    </w:p>
    <w:p>
      <w:r>
        <w:rPr>
          <w:rFonts w:ascii="Times New Roman" w:hAnsi="Times New Roman"/>
          <w:b w:val="0"/>
          <w:i w:val="0"/>
        </w:rPr>
        <w:t xml:space="preserve">First, </w:t>
      </w:r>
      <w:r>
        <w:rPr>
          <w:rFonts w:ascii="Times New Roman" w:hAnsi="Times New Roman"/>
          <w:b/>
          <w:i w:val="0"/>
        </w:rPr>
        <w:t>corpus–gold-standard homology</w:t>
      </w:r>
      <w:r>
        <w:rPr>
          <w:rFonts w:ascii="Times New Roman" w:hAnsi="Times New Roman"/>
          <w:b w:val="0"/>
          <w:i w:val="0"/>
        </w:rPr>
        <w:t xml:space="preserve">: corpus and gold standard both derive from the ProBIOPSY consensus, so this is a </w:t>
      </w:r>
      <w:r>
        <w:rPr>
          <w:rFonts w:ascii="Times New Roman" w:hAnsi="Times New Roman"/>
          <w:b w:val="0"/>
          <w:i/>
        </w:rPr>
        <w:t>consensus-conformance</w:t>
      </w:r>
      <w:r>
        <w:rPr>
          <w:rFonts w:ascii="Times New Roman" w:hAnsi="Times New Roman"/>
          <w:b w:val="0"/>
          <w:i w:val="0"/>
        </w:rPr>
        <w:t xml:space="preserve"> evaluation rather than independent clinical validity; EAU and AUA/ASTRO recommendations enter the system only through the rule layer's cross-check — their text is deliberately absent from the retrieval corpus (see Methods) — so guideline concordance at </w:t>
      </w:r>
      <w:r>
        <w:rPr>
          <w:rFonts w:ascii="Times New Roman" w:hAnsi="Times New Roman"/>
          <w:b w:val="0"/>
          <w:i/>
        </w:rPr>
        <w:t>retrieval</w:t>
      </w:r>
      <w:r>
        <w:rPr>
          <w:rFonts w:ascii="Times New Roman" w:hAnsi="Times New Roman"/>
          <w:b w:val="0"/>
          <w:i w:val="0"/>
        </w:rPr>
        <w:t xml:space="preserve"> level is untested;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b/>
          <w:i w:val="0"/>
        </w:rPr>
        <w:t>the residual conditional weakness</w:t>
      </w:r>
      <w:r>
        <w:rPr>
          <w:rFonts w:ascii="Times New Roman" w:hAnsi="Times New Roman"/>
          <w:b w:val="0"/>
          <w:i w:val="0"/>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b/>
          <w:i w:val="0"/>
        </w:rPr>
        <w:t>the face-validity panel is small</w:t>
      </w:r>
      <w:r>
        <w:rPr>
          <w:rFonts w:ascii="Times New Roman" w:hAnsi="Times New Roman"/>
          <w:b w:val="0"/>
          <w:i w:val="0"/>
        </w:rPr>
        <w:t xml:space="preserve">: four experts rated five composite propositions; agreement statistics at this n are unstable (a negative Fleiss κ despite 17/20 raw agreement illustrates the artefact [48]), all Likert ratings hit the ceiling, and the panel was single-institution — the review therefore supports preliminary face validity only. Fourth, </w:t>
      </w:r>
      <w:r>
        <w:rPr>
          <w:rFonts w:ascii="Times New Roman" w:hAnsi="Times New Roman"/>
          <w:b/>
          <w:i w:val="0"/>
        </w:rPr>
        <w:t>synthetic scenarios</w:t>
      </w:r>
      <w:r>
        <w:rPr>
          <w:rFonts w:ascii="Times New Roman" w:hAnsi="Times New Roman"/>
          <w:b w:val="0"/>
          <w:i w:val="0"/>
        </w:rPr>
        <w:t xml:space="preserve">: the 51 scenario archetypes and five demonstration cases are synthetic and do not span the full comorbidity complexity of real patients. Fifth, </w:t>
      </w:r>
      <w:r>
        <w:rPr>
          <w:rFonts w:ascii="Times New Roman" w:hAnsi="Times New Roman"/>
          <w:b/>
          <w:i w:val="0"/>
        </w:rPr>
        <w:t>single generator family</w:t>
      </w:r>
      <w:r>
        <w:rPr>
          <w:rFonts w:ascii="Times New Roman" w:hAnsi="Times New Roman"/>
          <w:b w:val="0"/>
          <w:i w:val="0"/>
        </w:rPr>
        <w:t xml:space="preserve">: the benchmark used the GLM family (flash and flagship tiers); cross-vendor generalisation is untested, although the supplement shows generator tier is not the decisive factor. Sixth, </w:t>
      </w:r>
      <w:r>
        <w:rPr>
          <w:rFonts w:ascii="Times New Roman" w:hAnsi="Times New Roman"/>
          <w:b/>
          <w:i w:val="0"/>
        </w:rPr>
        <w:t>combinatorial coverage</w:t>
      </w:r>
      <w:r>
        <w:rPr>
          <w:rFonts w:ascii="Times New Roman" w:hAnsi="Times New Roman"/>
          <w:b w:val="0"/>
          <w:i w:val="0"/>
        </w:rPr>
        <w:t xml:space="preserve">: 112 statements cover the high-frequency region of the 51 × 54 interaction space; long-tail coverage is unquantified. Seventh, </w:t>
      </w:r>
      <w:r>
        <w:rPr>
          <w:rFonts w:ascii="Times New Roman" w:hAnsi="Times New Roman"/>
          <w:b/>
          <w:i w:val="0"/>
        </w:rPr>
        <w:t>context cost</w:t>
      </w:r>
      <w:r>
        <w:rPr>
          <w:rFonts w:ascii="Times New Roman" w:hAnsi="Times New Roman"/>
          <w:b w:val="0"/>
          <w:i w:val="0"/>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b/>
          <w:i w:val="0"/>
        </w:rPr>
        <w:t>language and region</w:t>
      </w:r>
      <w:r>
        <w:rPr>
          <w:rFonts w:ascii="Times New Roman" w:hAnsi="Times New Roman"/>
          <w:b w:val="0"/>
          <w:i w:val="0"/>
        </w:rPr>
        <w:t>: the corpus is English, the scenario registry and UI Chinese; cross-lingual transfer is untested.</w:t>
      </w:r>
    </w:p>
    <w:p>
      <w:pPr>
        <w:pStyle w:val="Heading2"/>
      </w:pPr>
      <w:r>
        <w:rPr>
          <w:b/>
        </w:rPr>
      </w:r>
      <w:r>
        <w:rPr>
          <w:rFonts w:ascii="Times New Roman" w:hAnsi="Times New Roman"/>
          <w:b w:val="0"/>
          <w:i w:val="0"/>
        </w:rPr>
        <w:t>Future work</w:t>
      </w:r>
    </w:p>
    <w:p>
      <w:r>
        <w:rPr>
          <w:rFonts w:ascii="Times New Roman" w:hAnsi="Times New Roman"/>
          <w:b w:val="0"/>
          <w:i w:val="0"/>
        </w:rPr>
        <w:t>(i) extending the expert panel to a multi-centre face-validity and usability study, including treatment-intent-conditioned scenarios of the kind flagged by the reviewers in the split case; (ii) a prospective registry study with real cases, reported under emerging AI-evaluation standards [51,52]; (iii) extending the rule base to other guideline chapters (active surveillance, imaging follow-up) and emerging PSMA-PET–first pathways [53] to test architecture portability; (iv) FHIR integration for automatic scenario filling from the EMR; (v) on-premises generator deployment to eliminate PHI-transfer concerns.</w:t>
      </w:r>
    </w:p>
    <w:p>
      <w:pPr>
        <w:pStyle w:val="Heading2"/>
      </w:pPr>
      <w:r>
        <w:rPr>
          <w:b/>
        </w:rPr>
      </w:r>
      <w:r>
        <w:rPr>
          <w:rFonts w:ascii="Times New Roman" w:hAnsi="Times New Roman"/>
          <w:b w:val="0"/>
          <w:i w:val="0"/>
        </w:rPr>
        <w:t>Conclusions</w:t>
      </w:r>
    </w:p>
    <w:p>
      <w:r>
        <w:rPr>
          <w:rFonts w:ascii="Times New Roman" w:hAnsi="Times New Roman"/>
          <w:b w:val="0"/>
          <w:i w:val="0"/>
        </w:rPr>
        <w:t>QianLieAnHui demonstrates that chaining deterministic rule hard constraints, knowledge-graph evidence retrieval, and LLM arbitration — each layer covering the others' failure modes — raises fine-grained clinical decision accuracy to a level suitable for pilot clinical evaluation (exact-5 0.805, κ 0.730, against-F1 0.908) against an international consensus gold standard, with every output traceable to numbered statements and evidence chunks. Architecture, not a larger model, is currently the dominant lever for medical decision support.</w:t>
      </w:r>
    </w:p>
    <w:p>
      <w:pPr>
        <w:pStyle w:val="Heading1"/>
      </w:pPr>
      <w:r>
        <w:rPr>
          <w:rFonts w:ascii="Times New Roman" w:hAnsi="Times New Roman"/>
          <w:b w:val="0"/>
          <w:i w:val="0"/>
        </w:rPr>
        <w:t>Data availability</w:t>
      </w:r>
    </w:p>
    <w:p>
      <w:r>
        <w:rPr>
          <w:rFonts w:ascii="Times New Roman" w:hAnsi="Times New Roman"/>
          <w:b w:val="0"/>
          <w:i w:val="0"/>
        </w:rPr>
        <w:t>The rule base (configs/rules.yaml), both registries (entities_a.csv, entities_b.csv), the evidence corpus (evidence_chunks.jsonl, 357 chunks),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 (https://github.com/xuzekun6251/probiopsy-rag) and archived on Zenodo [54].</w:t>
      </w:r>
    </w:p>
    <w:p>
      <w:pPr>
        <w:pStyle w:val="Heading1"/>
      </w:pPr>
      <w:r>
        <w:rPr>
          <w:rFonts w:ascii="Times New Roman" w:hAnsi="Times New Roman"/>
          <w:b w:val="0"/>
          <w:i w:val="0"/>
        </w:rPr>
        <w:t>Ethics statement</w:t>
      </w:r>
    </w:p>
    <w:p>
      <w:r>
        <w:rPr>
          <w:rFonts w:ascii="Times New Roman" w:hAnsi="Times New Roman"/>
          <w:b w:val="0"/>
          <w:i w:val="0"/>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pStyle w:val="Heading1"/>
      </w:pPr>
      <w:r>
        <w:rPr>
          <w:rFonts w:ascii="Times New Roman" w:hAnsi="Times New Roman"/>
          <w:b w:val="0"/>
          <w:i w:val="0"/>
        </w:rPr>
        <w:t>Figure legends</w:t>
      </w:r>
    </w:p>
    <w:p>
      <w:r>
        <w:rPr>
          <w:rFonts w:ascii="Times New Roman" w:hAnsi="Times New Roman"/>
          <w:b/>
          <w:i w:val="0"/>
        </w:rPr>
        <w:t>Figure 1.</w:t>
      </w:r>
      <w:r>
        <w:rPr>
          <w:rFonts w:ascii="Times New Roman" w:hAnsi="Times New Roman"/>
          <w:b w:val="0"/>
          <w:i w:val="0"/>
        </w:rPr>
        <w:t xml:space="preserve"> System architecture and benchmark design. The ProBIOPSY consensus corpus (112 final statements; 357 evidence chunks; LightRAG index of 1,864 entities and 3,078 relations) is distilled at build time into 16 deterministic rules and the retrieval index. At run time, a patient-scenario × decision-item query passes through (1) the deterministic rule engine, which emits Q-coded hard constraints (dashed arrow binding the arbiter), (2) risk-guided retrieval over the LightRAG knowledge graph fused with the lexical evidence store, and (3) an LLM arbiter (GLM-5.3) that produces a five-class action verdict with statement-level citations under hard-constrained decoding. An example query (unifocal PI-RADS 4 lesion, focal therapy planned) and the corresponding structured output are shown. Bottom strip: the multi-method, multi-seed benchmark (112 statements × 4 methods × 5 seeds = 2,240 runs, generator held fixed).</w:t>
      </w:r>
    </w:p>
    <w:p>
      <w:pPr>
        <w:jc w:val="center"/>
      </w:pPr>
      <w:r>
        <w:drawing>
          <wp:inline xmlns:a="http://schemas.openxmlformats.org/drawingml/2006/main" xmlns:pic="http://schemas.openxmlformats.org/drawingml/2006/picture">
            <wp:extent cx="5760000" cy="3586415"/>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000" cy="3586415"/>
                    </a:xfrm>
                    <a:prstGeom prst="rect"/>
                  </pic:spPr>
                </pic:pic>
              </a:graphicData>
            </a:graphic>
          </wp:inline>
        </w:drawing>
      </w:r>
    </w:p>
    <w:p>
      <w:r>
        <w:rPr>
          <w:rFonts w:ascii="Times New Roman" w:hAnsi="Times New Roman"/>
          <w:b/>
          <w:i w:val="0"/>
        </w:rPr>
        <w:t>Figure 2.</w:t>
      </w:r>
      <w:r>
        <w:rPr>
          <w:rFonts w:ascii="Times New Roman" w:hAnsi="Times New Roman"/>
          <w:b w:val="0"/>
          <w:i w:val="0"/>
        </w:rPr>
        <w:t xml:space="preserve"> Multi-seed benchmark (4 methods × 5 seeds × 112 statements). </w:t>
      </w:r>
      <w:r>
        <w:rPr>
          <w:rFonts w:ascii="Times New Roman" w:hAnsi="Times New Roman"/>
          <w:b/>
          <w:i w:val="0"/>
        </w:rPr>
        <w:t>(a)</w:t>
      </w:r>
      <w:r>
        <w:rPr>
          <w:rFonts w:ascii="Times New Roman" w:hAnsi="Times New Roman"/>
          <w:b w:val="0"/>
          <w:i w:val="0"/>
        </w:rPr>
        <w:t xml:space="preserve"> Core metrics by method (mean ± SD across 5 seeds): exact-5 accuracy, exact-3 accuracy, macro-F1, Cohen's κ, and against-class F1. </w:t>
      </w:r>
      <w:r>
        <w:rPr>
          <w:rFonts w:ascii="Times New Roman" w:hAnsi="Times New Roman"/>
          <w:b/>
          <w:i w:val="0"/>
        </w:rPr>
        <w:t>(b)</w:t>
      </w:r>
      <w:r>
        <w:rPr>
          <w:rFonts w:ascii="Times New Roman" w:hAnsi="Times New Roman"/>
          <w:b w:val="0"/>
          <w:i w:val="0"/>
        </w:rPr>
        <w:t xml:space="preserve"> Exact-5 accuracy per seed (dots; dash = mean). </w:t>
      </w:r>
      <w:r>
        <w:rPr>
          <w:rFonts w:ascii="Times New Roman" w:hAnsi="Times New Roman"/>
          <w:b/>
          <w:i w:val="0"/>
        </w:rPr>
        <w:t>(c)</w:t>
      </w:r>
      <w:r>
        <w:rPr>
          <w:rFonts w:ascii="Times New Roman" w:hAnsi="Times New Roman"/>
          <w:b w:val="0"/>
          <w:i w:val="0"/>
        </w:rPr>
        <w:t xml:space="preserve"> Predicted class distribution per method over 560 runs (bars) with the gold-standard distribution (diamonds) — retrieval baselines almost never emit conditional; the full system's distribution tracks the gold standard most closely.</w:t>
      </w:r>
    </w:p>
    <w:p>
      <w:pPr>
        <w:jc w:val="center"/>
      </w:pPr>
      <w:r>
        <w:drawing>
          <wp:inline xmlns:a="http://schemas.openxmlformats.org/drawingml/2006/main" xmlns:pic="http://schemas.openxmlformats.org/drawingml/2006/picture">
            <wp:extent cx="5760000" cy="1975914"/>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5760000" cy="1975914"/>
                    </a:xfrm>
                    <a:prstGeom prst="rect"/>
                  </pic:spPr>
                </pic:pic>
              </a:graphicData>
            </a:graphic>
          </wp:inline>
        </w:drawing>
      </w:r>
    </w:p>
    <w:p>
      <w:r>
        <w:rPr>
          <w:rFonts w:ascii="Times New Roman" w:hAnsi="Times New Roman"/>
          <w:b/>
          <w:i w:val="0"/>
        </w:rPr>
        <w:t>Figure 3.</w:t>
      </w:r>
      <w:r>
        <w:rPr>
          <w:rFonts w:ascii="Times New Roman" w:hAnsi="Times New Roman"/>
          <w:b w:val="0"/>
          <w:i w:val="0"/>
        </w:rPr>
        <w:t xml:space="preserve"> Four-expert blinded review of the five demonstration cases (composite propositions). </w:t>
      </w:r>
      <w:r>
        <w:rPr>
          <w:rFonts w:ascii="Times New Roman" w:hAnsi="Times New Roman"/>
          <w:b/>
          <w:i w:val="0"/>
        </w:rPr>
        <w:t>(a)</w:t>
      </w:r>
      <w:r>
        <w:rPr>
          <w:rFonts w:ascii="Times New Roman" w:hAnsi="Times New Roman"/>
          <w:b w:val="0"/>
          <w:i w:val="0"/>
        </w:rPr>
        <w:t xml:space="preserve"> Per-case inter-rater agreement (modal-rating share of 4 experts; dashed line = 3/4). The Fleiss κ of −0.09 (marked </w:t>
      </w:r>
      <w:r>
        <w:rPr>
          <w:rFonts w:ascii="Times New Roman" w:hAnsi="Times New Roman"/>
          <w:b w:val="0"/>
          <w:i/>
        </w:rPr>
        <w:t xml:space="preserve">) is a small-sample artefact — raw agreement is 17/20. </w:t>
      </w:r>
      <w:r>
        <w:rPr>
          <w:rFonts w:ascii="Times New Roman" w:hAnsi="Times New Roman"/>
          <w:b w:val="0"/>
          <w:i/>
        </w:rPr>
        <w:t>(b)</w:t>
      </w:r>
      <w:r>
        <w:rPr>
          <w:rFonts w:ascii="Times New Roman" w:hAnsi="Times New Roman"/>
          <w:b w:val="0"/>
          <w:i/>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b w:val="0"/>
          <w:i/>
        </w:rPr>
        <w:t>(c)</w:t>
      </w:r>
      <w:r>
        <w:rPr>
          <w:rFonts w:ascii="Times New Roman" w:hAnsi="Times New Roman"/>
          <w:b w:val="0"/>
          <w:i/>
        </w:rPr>
        <w:t xml:space="preserve"> Expert Likert ratings of the system output (clarity, usefulness, recommendation, evidence; uniformly 5 — ceiling)</w:t>
      </w:r>
    </w:p>
    <w:p>
      <w:pPr>
        <w:jc w:val="center"/>
      </w:pPr>
      <w:r>
        <w:drawing>
          <wp:inline xmlns:a="http://schemas.openxmlformats.org/drawingml/2006/main" xmlns:pic="http://schemas.openxmlformats.org/drawingml/2006/picture">
            <wp:extent cx="5760000" cy="2040320"/>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5760000" cy="2040320"/>
                    </a:xfrm>
                    <a:prstGeom prst="rect"/>
                  </pic:spPr>
                </pic:pic>
              </a:graphicData>
            </a:graphic>
          </wp:inline>
        </w:drawing>
      </w:r>
    </w:p>
    <w:p>
      <w:r>
        <w:rPr>
          <w:rFonts w:ascii="Times New Roman" w:hAnsi="Times New Roman"/>
          <w:b/>
          <w:i w:val="0"/>
        </w:rPr>
        <w:t>Figure 4.</w:t>
      </w:r>
      <w:r>
        <w:rPr>
          <w:rFonts w:ascii="Times New Roman" w:hAnsi="Times New Roman"/>
          <w:b w:val="0"/>
          <w:i w:val="0"/>
        </w:rPr>
        <w:t xml:space="preserve"> Demonstration cases. </w:t>
      </w:r>
      <w:r>
        <w:rPr>
          <w:rFonts w:ascii="Times New Roman" w:hAnsi="Times New Roman"/>
          <w:b/>
          <w:i w:val="0"/>
        </w:rPr>
        <w:t>(a)</w:t>
      </w:r>
      <w:r>
        <w:rPr>
          <w:rFonts w:ascii="Times New Roman" w:hAnsi="Times New Roman"/>
          <w:b w:val="0"/>
          <w:i w:val="0"/>
        </w:rPr>
        <w:t xml:space="preserve"> Consensus rules fired per case, coloured by recommended action. </w:t>
      </w:r>
      <w:r>
        <w:rPr>
          <w:rFonts w:ascii="Times New Roman" w:hAnsi="Times New Roman"/>
          <w:b/>
          <w:i w:val="0"/>
        </w:rPr>
        <w:t>(b)</w:t>
      </w:r>
      <w:r>
        <w:rPr>
          <w:rFonts w:ascii="Times New Roman" w:hAnsi="Times New Roman"/>
          <w:b w:val="0"/>
          <w:i w:val="0"/>
        </w:rPr>
        <w:t xml:space="preserve"> Evidence corpus composition (112 consensus statements, 218 literature entries, 20 narrative passages, 7 systematic-review summaries).</w:t>
      </w:r>
    </w:p>
    <w:p>
      <w:pPr>
        <w:jc w:val="center"/>
      </w:pPr>
      <w:r>
        <w:drawing>
          <wp:inline xmlns:a="http://schemas.openxmlformats.org/drawingml/2006/main" xmlns:pic="http://schemas.openxmlformats.org/drawingml/2006/picture">
            <wp:extent cx="5760000" cy="2231859"/>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5760000" cy="2231859"/>
                    </a:xfrm>
                    <a:prstGeom prst="rect"/>
                  </pic:spPr>
                </pic:pic>
              </a:graphicData>
            </a:graphic>
          </wp:inline>
        </w:drawing>
      </w:r>
    </w:p>
    <w:p>
      <w:r>
        <w:rPr>
          <w:rFonts w:ascii="Times New Roman" w:hAnsi="Times New Roman"/>
          <w:b/>
          <w:i w:val="0"/>
        </w:rPr>
        <w:t>Figure 5.</w:t>
      </w:r>
      <w:r>
        <w:rPr>
          <w:rFonts w:ascii="Times New Roman" w:hAnsi="Times New Roman"/>
          <w:b w:val="0"/>
          <w:i w:val="0"/>
        </w:rPr>
        <w:t xml:space="preserve"> Runtime and knowledge-graph statistics. </w:t>
      </w:r>
      <w:r>
        <w:rPr>
          <w:rFonts w:ascii="Times New Roman" w:hAnsi="Times New Roman"/>
          <w:b/>
          <w:i w:val="0"/>
        </w:rPr>
        <w:t>(a)</w:t>
      </w:r>
      <w:r>
        <w:rPr>
          <w:rFonts w:ascii="Times New Roman" w:hAnsi="Times New Roman"/>
          <w:b w:val="0"/>
          <w:i w:val="0"/>
        </w:rPr>
        <w:t xml:space="preserve"> End-to-end latency per demonstration case (log scale), split into the rule-engine layer (red) and the remaining pipeline (grey). </w:t>
      </w:r>
      <w:r>
        <w:rPr>
          <w:rFonts w:ascii="Times New Roman" w:hAnsi="Times New Roman"/>
          <w:b/>
          <w:i w:val="0"/>
        </w:rPr>
        <w:t>(b)</w:t>
      </w:r>
      <w:r>
        <w:rPr>
          <w:rFonts w:ascii="Times New Roman" w:hAnsi="Times New Roman"/>
          <w:b w:val="0"/>
          <w:i w:val="0"/>
        </w:rPr>
        <w:t xml:space="preserve"> Top-12 knowledge-graph edge weights by relation type.</w:t>
      </w:r>
    </w:p>
    <w:p>
      <w:pPr>
        <w:jc w:val="center"/>
      </w:pPr>
      <w:r>
        <w:drawing>
          <wp:inline xmlns:a="http://schemas.openxmlformats.org/drawingml/2006/main" xmlns:pic="http://schemas.openxmlformats.org/drawingml/2006/picture">
            <wp:extent cx="5760000" cy="2094056"/>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5760000" cy="2094056"/>
                    </a:xfrm>
                    <a:prstGeom prst="rect"/>
                  </pic:spPr>
                </pic:pic>
              </a:graphicData>
            </a:graphic>
          </wp:inline>
        </w:drawing>
      </w:r>
    </w:p>
    <w:p>
      <w:pPr>
        <w:pStyle w:val="Heading1"/>
      </w:pPr>
      <w:r>
        <w:rPr>
          <w:rFonts w:ascii="Times New Roman" w:hAnsi="Times New Roman"/>
          <w:b w:val="0"/>
          <w:i w:val="0"/>
        </w:rPr>
        <w:t>Acknowledgments</w:t>
      </w:r>
    </w:p>
    <w:p>
      <w:r>
        <w:rPr>
          <w:rFonts w:ascii="Times New Roman" w:hAnsi="Times New Roman"/>
          <w:b w:val="0"/>
          <w:i w:val="0"/>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pStyle w:val="Heading1"/>
      </w:pPr>
      <w:r>
        <w:rPr>
          <w:rFonts w:ascii="Times New Roman" w:hAnsi="Times New Roman"/>
          <w:b w:val="0"/>
          <w:i w:val="0"/>
        </w:rPr>
        <w:t>Funding</w:t>
      </w:r>
    </w:p>
    <w:p>
      <w:r>
        <w:rPr>
          <w:rFonts w:ascii="Times New Roman" w:hAnsi="Times New Roman"/>
          <w:b w:val="0"/>
          <w:i w:val="0"/>
        </w:rPr>
        <w:t>This research received no external funding</w:t>
      </w:r>
    </w:p>
    <w:p>
      <w:pPr>
        <w:pStyle w:val="Heading1"/>
      </w:pPr>
      <w:r>
        <w:rPr>
          <w:rFonts w:ascii="Times New Roman" w:hAnsi="Times New Roman"/>
          <w:b w:val="0"/>
          <w:i w:val="0"/>
        </w:rPr>
        <w:t>Conflicts of interest</w:t>
      </w:r>
    </w:p>
    <w:p>
      <w:r>
        <w:rPr>
          <w:rFonts w:ascii="Times New Roman" w:hAnsi="Times New Roman"/>
          <w:b w:val="0"/>
          <w:i w:val="0"/>
        </w:rPr>
        <w:t>The authors declare no conflicts of interest.</w:t>
      </w:r>
    </w:p>
    <w:p>
      <w:pPr>
        <w:pStyle w:val="Heading1"/>
      </w:pPr>
      <w:r>
        <w:rPr>
          <w:rFonts w:ascii="Times New Roman" w:hAnsi="Times New Roman"/>
          <w:b w:val="0"/>
          <w:i w:val="0"/>
        </w:rPr>
        <w:t>CRediT author contributions</w:t>
      </w:r>
    </w:p>
    <w:p>
      <w:r>
        <w:rPr>
          <w:rFonts w:ascii="Times New Roman" w:hAnsi="Times New Roman"/>
          <w:b w:val="0"/>
          <w:i w:val="0"/>
        </w:rPr>
        <w:t>XU Zekun: Conceptualization, Methodology, Software, Validation, Writing – original draft.</w:t>
      </w:r>
    </w:p>
    <w:p>
      <w:pPr>
        <w:pStyle w:val="Heading1"/>
      </w:pPr>
      <w:r>
        <w:rPr>
          <w:rFonts w:ascii="Times New Roman" w:hAnsi="Times New Roman"/>
          <w:b w:val="0"/>
          <w:i w:val="0"/>
        </w:rPr>
        <w:t>Declaration of generative AI and AI-assisted technologies in the writing process</w:t>
      </w:r>
    </w:p>
    <w:p>
      <w:r>
        <w:rPr>
          <w:rFonts w:ascii="Times New Roman" w:hAnsi="Times New Roman"/>
          <w:b w:val="0"/>
          <w:i w:val="0"/>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pStyle w:val="Heading1"/>
      </w:pPr>
      <w:r>
        <w:rPr>
          <w:rFonts w:ascii="Times New Roman" w:hAnsi="Times New Roman"/>
          <w:b w:val="0"/>
          <w:i w:val="0"/>
        </w:rPr>
        <w:t>References</w:t>
      </w:r>
    </w:p>
    <w:p>
      <w:pPr>
        <w:ind w:left="425" w:hanging="425"/>
      </w:pPr>
      <w:r>
        <w:rPr>
          <w:rFonts w:ascii="Times New Roman" w:hAnsi="Times New Roman"/>
          <w:b w:val="0"/>
          <w:i w:val="0"/>
        </w:rPr>
        <w:t>1. Bray F, Laversanne M, Sung H, et al. Global cancer statistics 2022: GLOBOCAN estimates of incidence and mortality worldwide for 36 cancers in 185 countries. CA A Cancer J Clinicians. 2024;74(3):229-263. https://doi.org/10.3322/caac.21834</w:t>
      </w:r>
    </w:p>
    <w:p>
      <w:pPr>
        <w:ind w:left="425" w:hanging="425"/>
      </w:pPr>
      <w:r>
        <w:rPr>
          <w:rFonts w:ascii="Times New Roman" w:hAnsi="Times New Roman"/>
          <w:b w:val="0"/>
          <w:i w:val="0"/>
        </w:rPr>
        <w:t>2. Cao W, Chen HD, Yu YW, Li N, Chen WQ. Changing profiles of cancer burden worldwide and in China: a secondary analysis of the global cancer statistics 2020. Chinese Medical Journal. 2021;134(7):783-791. https://doi.org/10.1097/cm9.0000000000001474</w:t>
      </w:r>
    </w:p>
    <w:p>
      <w:pPr>
        <w:ind w:left="425" w:hanging="425"/>
      </w:pPr>
      <w:r>
        <w:rPr>
          <w:rFonts w:ascii="Times New Roman" w:hAnsi="Times New Roman"/>
          <w:b w:val="0"/>
          <w:i w:val="0"/>
        </w:rPr>
        <w:t>3. Schröder FH, Hugosson J, Roobol MJ, et al. Prostate-Cancer Mortality at 11 Years of Follow-up. N Engl J Med. 2012;366(11):981-990. https://doi.org/10.1056/nejmoa1113135</w:t>
      </w:r>
    </w:p>
    <w:p>
      <w:pPr>
        <w:ind w:left="425" w:hanging="425"/>
      </w:pPr>
      <w:r>
        <w:rPr>
          <w:rFonts w:ascii="Times New Roman" w:hAnsi="Times New Roman"/>
          <w:b w:val="0"/>
          <w:i w:val="0"/>
        </w:rPr>
        <w:t>4. Tracy CR, Flynn KJ, Sjoberg DD, Gellhaus PT, Metz CM, Ehdaie B. Optimizing MRI-targeted prostate biopsy: the diagnostic benefit of additional targeted biopsy cores. Urologic Oncology: Seminars and Original Investigations. 2021;39(3):193.e1-193.e6. https://doi.org/10.1016/j.urolonc.2020.09.019</w:t>
      </w:r>
    </w:p>
    <w:p>
      <w:pPr>
        <w:ind w:left="425" w:hanging="425"/>
      </w:pPr>
      <w:r>
        <w:rPr>
          <w:rFonts w:ascii="Times New Roman" w:hAnsi="Times New Roman"/>
          <w:b w:val="0"/>
          <w:i w:val="0"/>
        </w:rPr>
        <w:t>5. Deng R, Shang J, Wu J, et al. A head-to-head comparison of sextant-systematic biopsy vs. extended-systematic biopsy for prostate cancer diagnosis in the era of MRI-targeted biopsy: SEXTANT-PRO non-inferiority randomized clinical trial. eClinicalMedicine. 2025;90:103630. https://doi.org/10.1016/j.eclinm.2025.103630</w:t>
      </w:r>
    </w:p>
    <w:p>
      <w:pPr>
        <w:ind w:left="425" w:hanging="425"/>
      </w:pPr>
      <w:r>
        <w:rPr>
          <w:rFonts w:ascii="Times New Roman" w:hAnsi="Times New Roman"/>
          <w:b w:val="0"/>
          <w:i w:val="0"/>
        </w:rPr>
        <w:t>6. Bryant RJ, Marian IR, Williams R, et al. Local anaesthetic transperineal biopsy versus transrectal prostate biopsy in prostate cancer detection (TRANSLATE): a multicentre, randomised, controlled trial. The Lancet Oncology. 2025;26(5):583-595. https://doi.org/10.1016/s1470-2045(25)00100-7</w:t>
      </w:r>
    </w:p>
    <w:p>
      <w:pPr>
        <w:ind w:left="425" w:hanging="425"/>
      </w:pPr>
      <w:r>
        <w:rPr>
          <w:rFonts w:ascii="Times New Roman" w:hAnsi="Times New Roman"/>
          <w:b w:val="0"/>
          <w:i w:val="0"/>
        </w:rPr>
        <w:t>7. Yang YJ, Yang EJ, Nguyen TT, Choi SY. Transperineal Versus Transrectal Prostate Biopsy: A Systematic Review and Meta-analysis of Randomized Controlled Trials Across Settings With and Without Magnetic Resonance Imaging Targeting. European Urology Open Science. 2026;83:205-218. https://doi.org/10.1016/j.euros.2025.12.008</w:t>
      </w:r>
    </w:p>
    <w:p>
      <w:pPr>
        <w:ind w:left="425" w:hanging="425"/>
      </w:pPr>
      <w:r>
        <w:rPr>
          <w:rFonts w:ascii="Times New Roman" w:hAnsi="Times New Roman"/>
          <w:b w:val="0"/>
          <w:i w:val="0"/>
        </w:rPr>
        <w:t>8. Liss MA, Kim W, Moskowitz D, Szabo RJ. Comparative Effectiveness of Targeted vs Empirical Antibiotic Prophylaxis to Prevent Sepsis from Transrectal Prostate Biopsy: A Retrospective Analysis. Journal of Urology. 2015;194(2):397-402. https://doi.org/10.1016/j.juro.2015.03.110</w:t>
      </w:r>
    </w:p>
    <w:p>
      <w:pPr>
        <w:ind w:left="425" w:hanging="425"/>
      </w:pPr>
      <w:r>
        <w:rPr>
          <w:rFonts w:ascii="Times New Roman" w:hAnsi="Times New Roman"/>
          <w:b w:val="0"/>
          <w:i w:val="0"/>
        </w:rPr>
        <w:t>9. Ahdoot M, Wilbur AR, Reese SE, et al. MRI-Targeted, Systematic, and Combined Biopsy for Prostate Cancer Diagnosis. N Engl J Med. 2020;382(10):917-928. https://doi.org/10.1056/nejmoa1910038</w:t>
      </w:r>
    </w:p>
    <w:p>
      <w:pPr>
        <w:ind w:left="425" w:hanging="425"/>
      </w:pPr>
      <w:r>
        <w:rPr>
          <w:rFonts w:ascii="Times New Roman" w:hAnsi="Times New Roman"/>
          <w:b w:val="0"/>
          <w:i w:val="0"/>
        </w:rPr>
        <w:t>10. Klotz L, Chin J, Black PC, et al. Comparison of Multiparametric Magnetic Resonance Imaging–Targeted Biopsy With Systematic Transrectal Ultrasonography Biopsy for Biopsy-Naive Men at Risk for Prostate Cancer: A Phase 3 Randomized Clinical Trial. JAMA Oncol. 2021;7(4):534. https://doi.org/10.1001/jamaoncol.2020.7589</w:t>
      </w:r>
    </w:p>
    <w:p>
      <w:pPr>
        <w:ind w:left="425" w:hanging="425"/>
      </w:pPr>
      <w:r>
        <w:rPr>
          <w:rFonts w:ascii="Times New Roman" w:hAnsi="Times New Roman"/>
          <w:b w:val="0"/>
          <w:i w:val="0"/>
        </w:rPr>
        <w:t>11. Elkhoury FF, Felker ER, Kwan L, et al. Comparison of Targeted vs Systematic Prostate Biopsy in Men Who Are Biopsy Naive: The Prospective Assessment of Image Registration in the Diagnosis of Prostate Cancer (PAIREDCAP) Study. JAMA Surg. 2019;154(9):811. https://doi.org/10.1001/jamasurg.2019.1734</w:t>
      </w:r>
    </w:p>
    <w:p>
      <w:pPr>
        <w:ind w:left="425" w:hanging="425"/>
      </w:pPr>
      <w:r>
        <w:rPr>
          <w:rFonts w:ascii="Times New Roman" w:hAnsi="Times New Roman"/>
          <w:b w:val="0"/>
          <w:i w:val="0"/>
        </w:rPr>
        <w:t>12. Costa DN, Goldberg K, Leon ADD, et al. Magnetic Resonance Imaging–guided In-bore and Magnetic Resonance Imaging-transrectal Ultrasound Fusion Targeted Prostate Biopsies: An Adjusted Comparison of Clinically Significant Prostate Cancer Detection Rate. European Urology Oncology. 2019;2(4):397-404. https://doi.org/10.1016/j.euo.2018.08.022</w:t>
      </w:r>
    </w:p>
    <w:p>
      <w:pPr>
        <w:ind w:left="425" w:hanging="425"/>
      </w:pPr>
      <w:r>
        <w:rPr>
          <w:rFonts w:ascii="Times New Roman" w:hAnsi="Times New Roman"/>
          <w:b w:val="0"/>
          <w:i w:val="0"/>
        </w:rPr>
        <w:t>13. Epstein JI, Feng Z, Trock BJ, Pierorazio PM. Upgrading and Downgrading of Prostate Cancer from Biopsy to Radical Prostatectomy: Incidence and Predictive Factors Using the Modified Gleason Grading System and Factoring in Tertiary Grades. European Urology. 2012;61(5):1019-1024. https://doi.org/10.1016/j.eururo.2012.01.050</w:t>
      </w:r>
    </w:p>
    <w:p>
      <w:pPr>
        <w:ind w:left="425" w:hanging="425"/>
      </w:pPr>
      <w:r>
        <w:rPr>
          <w:rFonts w:ascii="Times New Roman" w:hAnsi="Times New Roman"/>
          <w:b w:val="0"/>
          <w:i w:val="0"/>
        </w:rPr>
        <w:t>14. Ahmed HU, El-Shater Bosaily A, Brown LC, et al. Diagnostic accuracy of multi-parametric MRI and TRUS biopsy in prostate cancer (PROMIS): a paired validating confirmatory study. The Lancet. 2017;389(10071):815-822. https://doi.org/10.1016/s0140-6736(16)32401-1</w:t>
      </w:r>
    </w:p>
    <w:p>
      <w:pPr>
        <w:ind w:left="425" w:hanging="425"/>
      </w:pPr>
      <w:r>
        <w:rPr>
          <w:rFonts w:ascii="Times New Roman" w:hAnsi="Times New Roman"/>
          <w:b w:val="0"/>
          <w:i w:val="0"/>
        </w:rPr>
        <w:t>15. Turkbey B, Rosenkrantz AB, Haider MA, et al. Prostate Imaging Reporting and Data System Version 2.1: 2019 Update of Prostate Imaging Reporting and Data System Version 2. European Urology. 2019;76(3):340-351. https://doi.org/10.1016/j.eururo.2019.02.033</w:t>
      </w:r>
    </w:p>
    <w:p>
      <w:pPr>
        <w:ind w:left="425" w:hanging="425"/>
      </w:pPr>
      <w:r>
        <w:rPr>
          <w:rFonts w:ascii="Times New Roman" w:hAnsi="Times New Roman"/>
          <w:b w:val="0"/>
          <w:i w:val="0"/>
        </w:rPr>
        <w:t>16. Park KJ, Choi SH, Lee JS, Kim JK, Kim MH. Interreader Agreement with Prostate Imaging Reporting and Data System Version 2 for Prostate Cancer Detection: A Systematic Review and Meta-Analysis. Journal of Urology. 2020;204(4):661-670. https://doi.org/10.1097/ju.0000000000001200</w:t>
      </w:r>
    </w:p>
    <w:p>
      <w:pPr>
        <w:ind w:left="425" w:hanging="425"/>
      </w:pPr>
      <w:r>
        <w:rPr>
          <w:rFonts w:ascii="Times New Roman" w:hAnsi="Times New Roman"/>
          <w:b w:val="0"/>
          <w:i w:val="0"/>
        </w:rPr>
        <w:t>17. Giganti F, Allen C, Emberton M, Moore CM, Kasivisvanathan V. Prostate Imaging Quality (PI-QUAL): A New Quality Control Scoring System for Multiparametric Magnetic Resonance Imaging of the Prostate from the PRECISION trial. European Urology Oncology. 2020;3(5):615-619. https://doi.org/10.1016/j.euo.2020.06.007</w:t>
      </w:r>
    </w:p>
    <w:p>
      <w:pPr>
        <w:ind w:left="425" w:hanging="425"/>
      </w:pPr>
      <w:r>
        <w:rPr>
          <w:rFonts w:ascii="Times New Roman" w:hAnsi="Times New Roman"/>
          <w:b w:val="0"/>
          <w:i w:val="0"/>
        </w:rPr>
        <w:t>18. Yusim I, Krenawi M, Mazor E, Novack V, Mabjeesh NJ. The use of prostate specific antigen density to predict clinically significant prostate cancer. Sci Rep. 2020;10(1):20015. https://doi.org/10.1038/s41598-020-76786-9</w:t>
      </w:r>
    </w:p>
    <w:p>
      <w:pPr>
        <w:ind w:left="425" w:hanging="425"/>
      </w:pPr>
      <w:r>
        <w:rPr>
          <w:rFonts w:ascii="Times New Roman" w:hAnsi="Times New Roman"/>
          <w:b w:val="0"/>
          <w:i w:val="0"/>
        </w:rPr>
        <w:t>19. Loeb S, Vellekoop A, Ahmed HU, et al. Systematic Review of Complications of Prostate Biopsy. European Urology. 2013;64(6):876-892. https://doi.org/10.1016/j.eururo.2013.05.049</w:t>
      </w:r>
    </w:p>
    <w:p>
      <w:pPr>
        <w:ind w:left="425" w:hanging="425"/>
      </w:pPr>
      <w:r>
        <w:rPr>
          <w:rFonts w:ascii="Times New Roman" w:hAnsi="Times New Roman"/>
          <w:b w:val="0"/>
          <w:i w:val="0"/>
        </w:rPr>
        <w:t>20. Nam RK, Saskin R, Lee Y, et al. Increasing Hospital Admission Rates for Urological Complications After Transrectal Ultrasound Guided Prostate Biopsy. Journal of Urology. 2010;183(3):963-969. https://doi.org/10.1016/j.juro.2009.11.043</w:t>
      </w:r>
    </w:p>
    <w:p>
      <w:pPr>
        <w:ind w:left="425" w:hanging="425"/>
      </w:pPr>
      <w:r>
        <w:rPr>
          <w:rFonts w:ascii="Times New Roman" w:hAnsi="Times New Roman"/>
          <w:b w:val="0"/>
          <w:i w:val="0"/>
        </w:rPr>
        <w:t>21. Chernysheva D, Di Bello F, Avesani G, et al. ProBIOPSY: A Multidisciplinary International Consensus on Standards for Prostate Biopsy. European Urology. 2026;90(3):212-224. https://doi.org/10.1016/j.eururo.2026.06.012</w:t>
      </w:r>
    </w:p>
    <w:p>
      <w:pPr>
        <w:ind w:left="425" w:hanging="425"/>
      </w:pPr>
      <w:r>
        <w:rPr>
          <w:rFonts w:ascii="Times New Roman" w:hAnsi="Times New Roman"/>
          <w:b w:val="0"/>
          <w:i w:val="0"/>
        </w:rPr>
        <w:t>22. European Association of Urology. EAU Guidelines on Prostate Cancer. Arnhem: European Association of Urology; 2026. https://uroweb.org/guidelines/prostate-cancer (living guideline, accessed September 2026).</w:t>
      </w:r>
    </w:p>
    <w:p>
      <w:pPr>
        <w:ind w:left="425" w:hanging="425"/>
      </w:pPr>
      <w:r>
        <w:rPr>
          <w:rFonts w:ascii="Times New Roman" w:hAnsi="Times New Roman"/>
          <w:b w:val="0"/>
          <w:i w:val="0"/>
        </w:rPr>
        <w:t>23. Eastham JA, Auffenberg GB, Barocas DA, et al. Clinically Localized Prostate Cancer: AUA/ASTRO Guideline, Part I: Introduction, Risk Assessment, Staging, and Risk-Based Management. Journal of Urology. 2022;208(1):10-18. https://doi.org/10.1097/ju.0000000000002757</w:t>
      </w:r>
    </w:p>
    <w:p>
      <w:pPr>
        <w:ind w:left="425" w:hanging="425"/>
      </w:pPr>
      <w:r>
        <w:rPr>
          <w:rFonts w:ascii="Times New Roman" w:hAnsi="Times New Roman"/>
          <w:b w:val="0"/>
          <w:i w:val="0"/>
        </w:rPr>
        <w:t>24. Eastham JA, Barocas DA, Chu CE, et al. Clinically Localized Prostate Cancer: AUA/ASTRO Guideline Amendment (2026). J Urol. 2026;216(1):2-11. https://doi.org/10.1097/ju.0000000000005060</w:t>
      </w:r>
    </w:p>
    <w:p>
      <w:pPr>
        <w:ind w:left="425" w:hanging="425"/>
      </w:pPr>
      <w:r>
        <w:rPr>
          <w:rFonts w:ascii="Times New Roman" w:hAnsi="Times New Roman"/>
          <w:b w:val="0"/>
          <w:i w:val="0"/>
        </w:rPr>
        <w:t>25. Hao S, Chai C, Li G, Tang N, Wang N, Yu X. Outdated Fact Detection in Knowledge Bases. In: 2020 IEEE 36th International Conference on Data Engineering (ICDE). IEEE; 2020:1890-1893. https://doi.org/10.1109/icde48307.2020.00196</w:t>
      </w:r>
    </w:p>
    <w:p>
      <w:pPr>
        <w:ind w:left="425" w:hanging="425"/>
      </w:pPr>
      <w:r>
        <w:rPr>
          <w:rFonts w:ascii="Times New Roman" w:hAnsi="Times New Roman"/>
          <w:b w:val="0"/>
          <w:i w:val="0"/>
        </w:rPr>
        <w:t>26. Ray CE, Wilson GM, Hughes AM, et al. Alert fatigue measurement in clinical decision support: a systematic review. Journal of the American Medical Informatics Association. 2026;33(8):1523-1531. https://doi.org/10.1093/jamia/ocag064</w:t>
      </w:r>
    </w:p>
    <w:p>
      <w:pPr>
        <w:ind w:left="425" w:hanging="425"/>
      </w:pPr>
      <w:r>
        <w:rPr>
          <w:rFonts w:ascii="Times New Roman" w:hAnsi="Times New Roman"/>
          <w:b w:val="0"/>
          <w:i w:val="0"/>
        </w:rPr>
        <w:t>27. Sutton RT, Pincock D, Baumgart DC, Sadowski DC, Fedorak RN, Kroeker KI. An overview of clinical decision support systems: benefits, risks, and strategies for success. npj Digit. Med. 2020;3(1):17. https://doi.org/10.1038/s41746-020-0221-y</w:t>
      </w:r>
    </w:p>
    <w:p>
      <w:pPr>
        <w:ind w:left="425" w:hanging="425"/>
      </w:pPr>
      <w:r>
        <w:rPr>
          <w:rFonts w:ascii="Times New Roman" w:hAnsi="Times New Roman"/>
          <w:b w:val="0"/>
          <w:i w:val="0"/>
        </w:rPr>
        <w:t>28. Rajpurkar P, Chen E, Banerjee O, Topol EJ. AI in health and medicine. Nat Med. 2022;28(1):31-38. https://doi.org/10.1038/s41591-021-01614-0</w:t>
      </w:r>
    </w:p>
    <w:p>
      <w:pPr>
        <w:ind w:left="425" w:hanging="425"/>
      </w:pPr>
      <w:r>
        <w:rPr>
          <w:rFonts w:ascii="Times New Roman" w:hAnsi="Times New Roman"/>
          <w:b w:val="0"/>
          <w:i w:val="0"/>
        </w:rPr>
        <w:t>29. Thirunavukarasu AJ, Ting DSJ, Elangovan K, Gutierrez L, Tan TF, Ting DSW. Large language models in medicine. Nat Med. 2023;29(8):1930-1940. https://doi.org/10.1038/s41591-023-02448-8</w:t>
      </w:r>
    </w:p>
    <w:p>
      <w:pPr>
        <w:ind w:left="425" w:hanging="425"/>
      </w:pPr>
      <w:r>
        <w:rPr>
          <w:rFonts w:ascii="Times New Roman" w:hAnsi="Times New Roman"/>
          <w:b w:val="0"/>
          <w:i w:val="0"/>
        </w:rPr>
        <w:t>30. Singhal K, Azizi S, Tu T, et al. Large language models encode clinical knowledge. Nature. 2023;620(7972):172-180. https://doi.org/10.1038/s41586-023-06291-2</w:t>
      </w:r>
    </w:p>
    <w:p>
      <w:pPr>
        <w:ind w:left="425" w:hanging="425"/>
      </w:pPr>
      <w:r>
        <w:rPr>
          <w:rFonts w:ascii="Times New Roman" w:hAnsi="Times New Roman"/>
          <w:b w:val="0"/>
          <w:i w:val="0"/>
        </w:rPr>
        <w:t>31. Singhal K, Tu T, Gottweis J, et al. Toward expert-level medical question answering with large language models. Nat Med. 2025;31(3):943-950. https://doi.org/10.1038/s41591-024-03423-7</w:t>
      </w:r>
    </w:p>
    <w:p>
      <w:pPr>
        <w:ind w:left="425" w:hanging="425"/>
      </w:pPr>
      <w:r>
        <w:rPr>
          <w:rFonts w:ascii="Times New Roman" w:hAnsi="Times New Roman"/>
          <w:b w:val="0"/>
          <w:i w:val="0"/>
        </w:rPr>
        <w:t>32. Ji Z, Lee N, Frieske R, et al. Survey of Hallucination in Natural Language Generation. ACM Comput. Surv. 2023;55(12):1-38. https://doi.org/10.1145/3571730</w:t>
      </w:r>
    </w:p>
    <w:p>
      <w:pPr>
        <w:ind w:left="425" w:hanging="425"/>
      </w:pPr>
      <w:r>
        <w:rPr>
          <w:rFonts w:ascii="Times New Roman" w:hAnsi="Times New Roman"/>
          <w:b w:val="0"/>
          <w:i w:val="0"/>
        </w:rPr>
        <w:t>33. Fast D, Adams LC, Busch F, et al. Autonomous medical evaluation for guideline adherence of large language models. npj Digit. Med. 2024;7(1):358. https://doi.org/10.1038/s41746-024-01356-6</w:t>
      </w:r>
    </w:p>
    <w:p>
      <w:pPr>
        <w:ind w:left="425" w:hanging="425"/>
      </w:pPr>
      <w:r>
        <w:rPr>
          <w:rFonts w:ascii="Times New Roman" w:hAnsi="Times New Roman"/>
          <w:b w:val="0"/>
          <w:i w:val="0"/>
        </w:rPr>
        <w:t>34. Wang Y, Peng C, Hu R, et al. A knowledge-enhanced domain-aware large language model agent for atrial fibrillation management. npj Digit. Med. 2026. https://doi.org/10.1038/s41746-026-03038-x</w:t>
      </w:r>
    </w:p>
    <w:p>
      <w:pPr>
        <w:ind w:left="425" w:hanging="425"/>
      </w:pPr>
      <w:r>
        <w:rPr>
          <w:rFonts w:ascii="Times New Roman" w:hAnsi="Times New Roman"/>
          <w:b w:val="0"/>
          <w:i w:val="0"/>
        </w:rPr>
        <w:t>35. Wang Y, Tan W, Cheng S, et al. Large Language Model Agent for Managing Patients With Suspected Hypertension. Hypertension. 2026;83(1):212-224. https://doi.org/10.1161/hypertensionaha.125.25305</w:t>
      </w:r>
    </w:p>
    <w:p>
      <w:pPr>
        <w:ind w:left="425" w:hanging="425"/>
      </w:pPr>
      <w:r>
        <w:rPr>
          <w:rFonts w:ascii="Times New Roman" w:hAnsi="Times New Roman"/>
          <w:b w:val="0"/>
          <w:i w:val="0"/>
        </w:rPr>
        <w:t>36. Hao Y, Holmes J, Waddle MR, et al. Personalizing prostate cancer education for patients using an EHR-Integrated LLM agent. npj Digit. Med. 2025;8(1):770. https://doi.org/10.1038/s41746-025-02166-0</w:t>
      </w:r>
    </w:p>
    <w:p>
      <w:pPr>
        <w:ind w:left="425" w:hanging="425"/>
      </w:pPr>
      <w:r>
        <w:rPr>
          <w:rFonts w:ascii="Times New Roman" w:hAnsi="Times New Roman"/>
          <w:b w:val="0"/>
          <w:i w:val="0"/>
        </w:rPr>
        <w:t>37. Sha H, Gong F, Liu B, Liu R, Wang H, Wu T. Leveraging Retrieval-Augmented Large Language Models for Dietary Recommendations With Traditional Chinese Medicine’s Medicine Food Homology: Algorithm Development and Validation. JMIR Med Inform. 2025;13:e75279-e75279. https://doi.org/10.2196/75279</w:t>
      </w:r>
    </w:p>
    <w:p>
      <w:pPr>
        <w:ind w:left="425" w:hanging="425"/>
      </w:pPr>
      <w:r>
        <w:rPr>
          <w:rFonts w:ascii="Times New Roman" w:hAnsi="Times New Roman"/>
          <w:b w:val="0"/>
          <w:i w:val="0"/>
        </w:rPr>
        <w:t>38. Wang Z, Jin Q, Wei CH, et al. GeneAgent: self-verification language agent for gene-set analysis using domain databases. Nat Methods. 2025;22(8):1677-1685. https://doi.org/10.1038/s41592-025-02748-6</w:t>
      </w:r>
    </w:p>
    <w:p>
      <w:pPr>
        <w:ind w:left="425" w:hanging="425"/>
      </w:pPr>
      <w:r>
        <w:rPr>
          <w:rFonts w:ascii="Times New Roman" w:hAnsi="Times New Roman"/>
          <w:b w:val="0"/>
          <w:i w:val="0"/>
        </w:rPr>
        <w:t>39. Lewis P, Perez E, Piktus A, et al. Retrieval-augmented generation for knowledge-intensive NLP tasks. Adv Neural Inf Process Syst. 2020;33:9459-74. arXiv:2005.11401 (verified via arXiv API).</w:t>
      </w:r>
    </w:p>
    <w:p>
      <w:pPr>
        <w:ind w:left="425" w:hanging="425"/>
      </w:pPr>
      <w:r>
        <w:rPr>
          <w:rFonts w:ascii="Times New Roman" w:hAnsi="Times New Roman"/>
          <w:b w:val="0"/>
          <w:i w:val="0"/>
        </w:rPr>
        <w:t>40. Xiong G, Jin Q, Lu Z, Zhang A. Benchmarking Retrieval-Augmented Generation for Medicine. Findings of the Association for Computational Linguistics ACL 2024. 2024:6233-6251. https://doi.org/10.18653/v1/2024.findings-acl.372</w:t>
      </w:r>
    </w:p>
    <w:p>
      <w:pPr>
        <w:ind w:left="425" w:hanging="425"/>
      </w:pPr>
      <w:r>
        <w:rPr>
          <w:rFonts w:ascii="Times New Roman" w:hAnsi="Times New Roman"/>
          <w:b w:val="0"/>
          <w:i w:val="0"/>
        </w:rPr>
        <w:t>41. Pan S, Luo L, Wang Y, Chen C, Wang J, Wu X. Unifying Large Language Models and Knowledge Graphs: A Roadmap. IEEE Trans. Knowl. Data Eng. 2024;36(7):3580-3599. https://doi.org/10.1109/tkde.2024.3352100</w:t>
      </w:r>
    </w:p>
    <w:p>
      <w:pPr>
        <w:ind w:left="425" w:hanging="425"/>
      </w:pPr>
      <w:r>
        <w:rPr>
          <w:rFonts w:ascii="Times New Roman" w:hAnsi="Times New Roman"/>
          <w:b w:val="0"/>
          <w:i w:val="0"/>
        </w:rPr>
        <w:t>42. Guo Z, Xia L, Yu Y, Ao T, Huang C. LightRAG: simple and fast retrieval-augmented generation. arXiv:2410.05779, 2024 (verified against arXiv listing).</w:t>
      </w:r>
    </w:p>
    <w:p>
      <w:pPr>
        <w:ind w:left="425" w:hanging="425"/>
      </w:pPr>
      <w:r>
        <w:rPr>
          <w:rFonts w:ascii="Times New Roman" w:hAnsi="Times New Roman"/>
          <w:b w:val="0"/>
          <w:i w:val="0"/>
        </w:rPr>
        <w:t>43. Edge D, Trinh H, Cheng N, et al. From local to global: a Graph RAG approach to query-focused summarization. arXiv:2404.16130, 2024 (verified via arXiv API).</w:t>
      </w:r>
    </w:p>
    <w:p>
      <w:pPr>
        <w:ind w:left="425" w:hanging="425"/>
      </w:pPr>
      <w:r>
        <w:rPr>
          <w:rFonts w:ascii="Times New Roman" w:hAnsi="Times New Roman"/>
          <w:b w:val="0"/>
          <w:i w:val="0"/>
        </w:rPr>
        <w:t>44. Epstein JI, Amin MB, Reuter VE, Humphrey PA. Contemporary Gleason Grading of Prostatic Carcinoma: An Update With Discussion on Practical Issues to Implement the 2014 International Society of Urological Pathology (ISUP) Consensus Conference on Gleason Grading of Prostatic Carcinoma. American Journal of Surgical Pathology. 2017;41(4):e1-e7. https://doi.org/10.1097/pas.0000000000000820</w:t>
      </w:r>
    </w:p>
    <w:p>
      <w:pPr>
        <w:ind w:left="425" w:hanging="425"/>
      </w:pPr>
      <w:r>
        <w:rPr>
          <w:rFonts w:ascii="Times New Roman" w:hAnsi="Times New Roman"/>
          <w:b w:val="0"/>
          <w:i w:val="0"/>
        </w:rPr>
        <w:t>45. Cohen J. A Coefficient of Agreement for Nominal Scales. Educational and Psychological Measurement. 1960;20(1):37-46. https://doi.org/10.1177/001316446002000104</w:t>
      </w:r>
    </w:p>
    <w:p>
      <w:pPr>
        <w:ind w:left="425" w:hanging="425"/>
      </w:pPr>
      <w:r>
        <w:rPr>
          <w:rFonts w:ascii="Times New Roman" w:hAnsi="Times New Roman"/>
          <w:b w:val="0"/>
          <w:i w:val="0"/>
        </w:rPr>
        <w:t>46. Benjamini Y, Hochberg Y. Controlling the False Discovery Rate: A Practical and Powerful Approach to Multiple Testing. Journal of the Royal Statistical Society Series B: Statistical Methodology. 1995;57(1):289-300. https://doi.org/10.1111/j.2517-6161.1995.tb02031.x</w:t>
      </w:r>
    </w:p>
    <w:p>
      <w:pPr>
        <w:ind w:left="425" w:hanging="425"/>
      </w:pPr>
      <w:r>
        <w:rPr>
          <w:rFonts w:ascii="Times New Roman" w:hAnsi="Times New Roman"/>
          <w:b w:val="0"/>
          <w:i w:val="0"/>
        </w:rPr>
        <w:t>47. Fleiss JL. Measuring nominal scale agreement among many raters.. Psychological Bulletin. 1971;76(5):378-382. https://doi.org/10.1037/h0031619</w:t>
      </w:r>
    </w:p>
    <w:p>
      <w:pPr>
        <w:ind w:left="425" w:hanging="425"/>
      </w:pPr>
      <w:r>
        <w:rPr>
          <w:rFonts w:ascii="Times New Roman" w:hAnsi="Times New Roman"/>
          <w:b w:val="0"/>
          <w:i w:val="0"/>
        </w:rPr>
        <w:t>48. Feinstein AR, Cicchetti DV. High agreement but low Kappa: I. the problems of two paradoxes. Journal of Clinical Epidemiology. 1990;43(6):543-549. https://doi.org/10.1016/0895-4356(90)90158-l</w:t>
      </w:r>
    </w:p>
    <w:p>
      <w:pPr>
        <w:ind w:left="425" w:hanging="425"/>
      </w:pPr>
      <w:r>
        <w:rPr>
          <w:rFonts w:ascii="Times New Roman" w:hAnsi="Times New Roman"/>
          <w:b w:val="0"/>
          <w:i w:val="0"/>
        </w:rPr>
        <w:t>49. Ayers JW, Poliak A, Dredze M, et al. Comparing Physician and Artificial Intelligence Chatbot Responses to Patient Questions Posted to a Public Social Media Forum. JAMA Intern Med. 2023;183(6):589. https://doi.org/10.1001/jamainternmed.2023.1838</w:t>
      </w:r>
    </w:p>
    <w:p>
      <w:pPr>
        <w:ind w:left="425" w:hanging="425"/>
      </w:pPr>
      <w:r>
        <w:rPr>
          <w:rFonts w:ascii="Times New Roman" w:hAnsi="Times New Roman"/>
          <w:b w:val="0"/>
          <w:i w:val="0"/>
        </w:rPr>
        <w:t>50. Borghesi M, Ahmed H, Nam R, et al. Complications After Systematic, Random, and Image-guided Prostate Biopsy. European Urology. 2017;71(3):353-365. https://doi.org/10.1016/j.eururo.2016.08.004</w:t>
      </w:r>
    </w:p>
    <w:p>
      <w:pPr>
        <w:ind w:left="425" w:hanging="425"/>
      </w:pPr>
      <w:r>
        <w:rPr>
          <w:rFonts w:ascii="Times New Roman" w:hAnsi="Times New Roman"/>
          <w:b w:val="0"/>
          <w:i w:val="0"/>
        </w:rPr>
        <w:t>51. Vasey B, Nagendran M, Campbell B, et al. Reporting guideline for the early stage clinical evaluation of decision support systems driven by artificial intelligence: DECIDE-AI. BMJ. 2022;377:e070904. https://doi.org/10.1136/bmj-2022-070904</w:t>
      </w:r>
    </w:p>
    <w:p>
      <w:pPr>
        <w:ind w:left="425" w:hanging="425"/>
      </w:pPr>
      <w:r>
        <w:rPr>
          <w:rFonts w:ascii="Times New Roman" w:hAnsi="Times New Roman"/>
          <w:b w:val="0"/>
          <w:i w:val="0"/>
        </w:rPr>
        <w:t>52. Collins GS, Moons KGM, Dhiman P, et al. TRIPOD+AI statement: updated guidance for reporting clinical prediction models that use regression or machine learning methods. BMJ. 2024;385:e078378. https://doi.org/10.1136/bmj-2023-078378</w:t>
      </w:r>
    </w:p>
    <w:p>
      <w:pPr>
        <w:ind w:left="425" w:hanging="425"/>
      </w:pPr>
      <w:r>
        <w:rPr>
          <w:rFonts w:ascii="Times New Roman" w:hAnsi="Times New Roman"/>
          <w:b w:val="0"/>
          <w:i w:val="0"/>
        </w:rPr>
        <w:t>53. Al-Khanaty A, Hennes D, Hofman MS, et al. Avoiding Prostate Biopsy in Early Prostate Cancer Detection: From Liquid Biopsy to PSMA-PET. European Urology Focus. 2026. https://doi.org/10.1016/j.euf.2026.05.019</w:t>
      </w:r>
    </w:p>
    <w:p>
      <w:pPr>
        <w:ind w:left="425" w:hanging="425"/>
      </w:pPr>
      <w:r>
        <w:rPr>
          <w:rFonts w:ascii="Times New Roman" w:hAnsi="Times New Roman"/>
          <w:b w:val="0"/>
          <w:i w:val="0"/>
        </w:rPr>
        <w:t>54. XU Z. QianLieAnHui (probiopsy-rag): a hybrid rule-engine, knowledge-graph, and LLM-arbitration decision-support system for the prostate biopsy pathway, validated against the ProBIOPSY consensus [software, version v1.0.1]. Zenodo. 2026. https://doi.org/10.5281/zenodo.22898439 (verified via DataCite API).</w:t>
      </w:r>
    </w:p>
    <w:p>
      <w:r>
        <w:rPr>
          <w:rFonts w:ascii="Times New Roman" w:hAnsi="Times New Roman"/>
          <w:b w:val="0"/>
          <w:i w:val="0"/>
        </w:rPr>
        <w:t xml:space="preserve">&gt; </w:t>
      </w:r>
      <w:r>
        <w:rPr>
          <w:rFonts w:ascii="Times New Roman" w:hAnsi="Times New Roman"/>
          <w:b/>
          <w:i w:val="0"/>
        </w:rPr>
        <w:t>Reference QC:</w:t>
      </w:r>
      <w:r>
        <w:rPr>
          <w:rFonts w:ascii="Times New Roman" w:hAnsi="Times New Roman"/>
          <w:b w:val="0"/>
          <w:i w:val="0"/>
        </w:rPr>
        <w:t xml:space="preserve"> all 54 references verified programmatically — DOI-based entries resolved against the Crossref API (api.crossref.org; metadata auto-generated in `scripts/renumber_refs.py`, cache `outputs/paper/refs_vancouver.json`); the round-6 clinical additions (2026-10-02: AUA/ASTRO guideline articles, biopsy complications, targeted prophylaxis, transperineal-vs-transrectal trial evidence, PI-RADS inter-reader agreement, biopsy-to-prostatectomy concordance) were additionally confirmed against PubMed via the NCBI E-utilities API, and the round-7 medical-agent positioning additions (PULSE, the hypertension and prostate-cancer agents, GeneAgent) via Crossref (PMIDs and DOIs recorded in the verification scripts); arXiv entries (refs for LightRAG, GraphRAG, Lewis RAG) verified via the arXiv API / arXiv listings, the Zenodo software deposit via the DataCite API; the EAU guideline is a living web citation — update edition and access date at submission time.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