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decision-support agent: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agent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agent).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Domain-specific LLM agents are now emerging rapidly — for atrial-fibrillation patient self-management [34], suspected-hypertension management [35], prostate-cancer patient education [36], and gene-set analysis with self-verification [37] — yet these frameworks rely on retrieval and prompt-level reflection without deterministic safeguards, and none, to our knowledge, is evaluated against a statement-level guideline gold standard. RAG grounds generation in an external corpus [38], and medical RAG benchmarks show promise [39],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[40] — each layer covers the others' failure modes while preserving a complete audit trail from every output back to numbered consensus statements and evidence chunks. At the retrieval layer we adopt LightRAG [41], a graph-based dual-level retrieval framework that outperforms Microsoft GraphRAG [42]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[43]);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[44]),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[39]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[37].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223465"/>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223465"/>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38.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39.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40.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44.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