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decision-support agent: (1) a deterministic rule engine (12 consensus + 4 patient-factor escalation rules, cross-checked against EAU and AUA/ASTRO guidelines)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under one fixed generator (GLM-5.3-Flash); baselines were re-run with flagship-tier GLM-5.3.</w:t>
      </w:r>
    </w:p>
    <w:p>
      <w:r>
        <w:rPr>
          <w:rFonts w:ascii="Times New Roman" w:hAnsi="Times New Roman"/>
          <w:b/>
          <w:i w:val="0"/>
        </w:rPr>
        <w:t>Results:</w:t>
      </w:r>
      <w:r>
        <w:rPr>
          <w:rFonts w:ascii="Times New Roman" w:hAnsi="Times New Roman"/>
          <w:b w:val="0"/>
          <w:i w:val="0"/>
        </w:rPr>
        <w:t xml:space="preserve"> The agent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0.8% of retrieval-baseline runs versus 17.0% for the agent).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 whose sepsis and pain trade-offs have now been quantified by a multicentre randomised trial and a meta-analysis of randomised trials [7,8] — anaesthesia and antimicrobial prophylaxis, where targeted versus empirical strategies measurably change post-biopsy sepsis risk [9], and whether the harvested tissue satisfies the demands of subsequent treatment planning, given the persistent biopsy-to-prostatectomy grade discordance [10]. These choices must all be weighed against patient-specific factors — PI-RADS grade [11], PSA density [12], MRI quality, prior negative biopsy, anticoagulation, urinary-tract-infection risk factors, prostate volume, and more — against the backdrop of a complication burden that is far from negligible [13,14], and as codified in the EAU Prostate Cancer Guidelines [15], the AUA/ASTRO Clinically Localized Prostate Cancer Guideline [16] with its 2026 Amendment [17], and the ProBIOPSY consensus [4]. This pathway rests on validated mpMRI diagnostic accuracy [18], tempered by moderate inter-reader agreement for PI-RADS version 2 [19], and on repeated demonstrations that MRI-targeted sampling improves clinically significant cancer detection [20-23].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[24],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[25], contribute to alert fatigue [26], and struggle with natural-language evidence [27].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[28,29] and are approaching expert performance on medical question answering [30,31], yet carry well-documented risks in medicine — hallucination, unstable outputs, and unverifiable provenance [32] — and can diverge from clinical guidelines [33]. Domain-specific LLM agents are now emerging rapidly — for atrial-fibrillation patient self-management [34], suspected-hypertension management [35], prostate-cancer patient education [36], and gene-set analysis with self-verification [37] — yet these frameworks rely on retrieval and prompt-level reflection without deterministic safeguards, and none, to our knowledge, is evaluated against a statement-level guideline gold standard. RAG grounds generation in an external corpus [38], and medical RAG benchmarks show promise [39],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[40] — each layer covers the others' failure modes while preserving a complete audit trail from every output back to numbered consensus statements and evidence chunks. At the retrieval layer we adopt LightRAG [41], a graph-based dual-level retrieval framework that outperforms Microsoft GraphRAG [42]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[43]);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[44]),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[41]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[15] and the AUA/ASTRO Clinically Localized Prostate Cancer Guideline [16] and its 2026 Amendment [17];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[39]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[42] and LightRAG [41],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[37].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[15]; the AUA/ASTRO guideline and its 2026 Amendment converge on the same action-level recommendations for localized disease [16,17]. The underlying trial evidence is recent and consolidating — randomised evidence on transperineal access [7], an RCT meta-analysis across imaging-targeted and non-targeted settings [8], and targeted prophylaxis studies [9]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[19] is carried as explicit scenario flags; grade-discordance-aware treatment planning [10] is anchored by the largest statement domain; and the complication burden that motivates conservatism [24]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[50,51]; (iii) extending the rule base to other guideline chapters (active surveillance, imaging follow-up) and emerging PSMA-PET–first pathways [52]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[53].</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176671"/>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176671"/>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1953699"/>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1953699"/>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137143"/>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137143"/>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10.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11.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14.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15.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16.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17.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18.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19.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20.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21.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22.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23.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24.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38.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39.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40.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41. Guo Z, Xia L, Yu Y, Ao T, Huang C. LightRAG: simple and fast retrieval-augmented generation. arXiv:2410.05779, 2024 (verified against arXiv listing).</w:t>
      </w:r>
    </w:p>
    <w:p>
      <w:pPr>
        <w:ind w:left="425" w:hanging="425"/>
      </w:pPr>
      <w:r>
        <w:rPr>
          <w:rFonts w:ascii="Times New Roman" w:hAnsi="Times New Roman"/>
          <w:b w:val="0"/>
          <w:i w:val="0"/>
        </w:rPr>
        <w:t>42. Edge D, Trinh H, Cheng N, et al. From local to global: a Graph RAG approach to query-focused summarization. arXiv:2404.16130, 2024 (verified via arXiv API).</w:t>
      </w:r>
    </w:p>
    <w:p>
      <w:pPr>
        <w:ind w:left="425" w:hanging="425"/>
      </w:pPr>
      <w:r>
        <w:rPr>
          <w:rFonts w:ascii="Times New Roman" w:hAnsi="Times New Roman"/>
          <w:b w:val="0"/>
          <w:i w:val="0"/>
        </w:rPr>
        <w:t>43.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44.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51.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52.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53.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53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