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QianLieAnHui: development and benchmark validation of a hybrid rule-engine, knowledge-graph, and LLM-arbitration decision-support system for the prostate biopsy pathway, against the ProBIOPSY international consensus</w:t>
      </w:r>
    </w:p>
    <w:p>
      <w:r>
        <w:rPr>
          <w:rFonts w:ascii="Times New Roman" w:hAnsi="Times New Roman"/>
          <w:b/>
          <w:i w:val="0"/>
        </w:rPr>
        <w:t>Running title:</w:t>
      </w:r>
      <w:r>
        <w:rPr>
          <w:rFonts w:ascii="Times New Roman" w:hAnsi="Times New Roman"/>
          <w:b w:val="0"/>
          <w:i w:val="0"/>
        </w:rPr>
        <w:t xml:space="preserve"> A hybrid rule engine–knowledge graph–LLM system for prostate biopsy decisions</w:t>
      </w:r>
    </w:p>
    <w:p>
      <w:r>
        <w:rPr>
          <w:rFonts w:ascii="Times New Roman" w:hAnsi="Times New Roman"/>
          <w:b w:val="0"/>
          <w:i w:val="0"/>
        </w:rPr>
        <w:t>XU Zekun</w:t>
      </w:r>
      <w:r>
        <w:rPr>
          <w:rFonts w:ascii="Times New Roman" w:hAnsi="Times New Roman"/>
          <w:b w:val="0"/>
          <w:i w:val="0"/>
          <w:vertAlign w:val="superscript"/>
        </w:rPr>
        <w:t>1,*</w:t>
      </w:r>
    </w:p>
    <w:p>
      <w:r>
        <w:rPr>
          <w:rFonts w:ascii="Times New Roman" w:hAnsi="Times New Roman"/>
          <w:b w:val="0"/>
          <w:i w:val="0"/>
          <w:vertAlign w:val="superscript"/>
        </w:rPr>
        <w:t>1</w:t>
      </w:r>
      <w:r>
        <w:rPr>
          <w:rFonts w:ascii="Times New Roman" w:hAnsi="Times New Roman"/>
          <w:b w:val="0"/>
          <w:i w:val="0"/>
        </w:rPr>
        <w:t xml:space="preserve"> Department of Urology, Affiliated Jinhua Hospital, Zhejiang University School of Medicine.</w:t>
      </w:r>
    </w:p>
    <w:p>
      <w:r>
        <w:rPr>
          <w:rFonts w:ascii="Times New Roman" w:hAnsi="Times New Roman"/>
          <w:b w:val="0"/>
          <w:i w:val="0"/>
          <w:vertAlign w:val="superscript"/>
        </w:rPr>
        <w:t>*</w:t>
      </w:r>
      <w:r>
        <w:rPr>
          <w:rFonts w:ascii="Times New Roman" w:hAnsi="Times New Roman"/>
          <w:b w:val="0"/>
          <w:i w:val="0"/>
        </w:rPr>
        <w:t xml:space="preserve"> Corresponding author: xuzekunurology@163.com</w:t>
      </w:r>
    </w:p>
    <w:p>
      <w:r>
        <w:rPr>
          <w:rFonts w:ascii="Times New Roman" w:hAnsi="Times New Roman"/>
          <w:b/>
          <w:i w:val="0"/>
        </w:rPr>
        <w:t>Keywords:</w:t>
      </w:r>
      <w:r>
        <w:rPr>
          <w:rFonts w:ascii="Times New Roman" w:hAnsi="Times New Roman"/>
          <w:b w:val="0"/>
          <w:i w:val="0"/>
        </w:rPr>
        <w:t xml:space="preserve"> prostate cancer; prostate biopsy; clinical decision support; knowledge graph; LightRAG; retrieval-augmented generation; large language models; ProBIOPSY</w:t>
      </w:r>
    </w:p>
    <w:p>
      <w:r>
        <w:rPr>
          <w:rFonts w:ascii="Times New Roman" w:hAnsi="Times New Roman"/>
          <w:b/>
          <w:i w:val="0"/>
        </w:rPr>
        <w:t>Word count:</w:t>
      </w:r>
      <w:r>
        <w:rPr>
          <w:rFonts w:ascii="Times New Roman" w:hAnsi="Times New Roman"/>
          <w:b w:val="0"/>
          <w:i w:val="0"/>
        </w:rPr>
        <w:t xml:space="preserve"> abstract 248 / main text ~3,300 (excl. tables, legends, references)</w:t>
      </w:r>
    </w:p>
    <w:p>
      <w:r>
        <w:rPr>
          <w:rFonts w:ascii="Times New Roman" w:hAnsi="Times New Roman"/>
          <w:b w:val="0"/>
          <w:i w:val="0"/>
        </w:rPr>
        <w:t>---</w:t>
      </w:r>
    </w:p>
    <w:p>
      <w:pPr>
        <w:pStyle w:val="Heading1"/>
      </w:pPr>
      <w:r>
        <w:rPr>
          <w:rFonts w:ascii="Times New Roman" w:hAnsi="Times New Roman"/>
          <w:b w:val="0"/>
          <w:i w:val="0"/>
        </w:rPr>
        <w:t>Abstract</w:t>
      </w:r>
    </w:p>
    <w:p>
      <w:r>
        <w:rPr>
          <w:rFonts w:ascii="Times New Roman" w:hAnsi="Times New Roman"/>
          <w:b/>
          <w:i w:val="0"/>
        </w:rPr>
        <w:t>Background:</w:t>
      </w:r>
      <w:r>
        <w:rPr>
          <w:rFonts w:ascii="Times New Roman" w:hAnsi="Times New Roman"/>
          <w:b w:val="0"/>
          <w:i w:val="0"/>
        </w:rPr>
        <w:t xml:space="preserve"> Prostate biopsy decisions must weigh patient-specific MRI quality, biopsy scheme, route, prophylaxis, and treatment-planning needs. The ProBIOPSY consensus (112 final statements) codifies this pathway but is not an executable decision artifact. Large language models (LLMs) hallucinate and lack traceability; retrieval-augmented generation (RAG) mitigates hallucination but provides no deterministic safety guarantees.</w:t>
      </w:r>
    </w:p>
    <w:p>
      <w:r>
        <w:rPr>
          <w:rFonts w:ascii="Times New Roman" w:hAnsi="Times New Roman"/>
          <w:b/>
          <w:i w:val="0"/>
        </w:rPr>
        <w:t>Methods:</w:t>
      </w:r>
      <w:r>
        <w:rPr>
          <w:rFonts w:ascii="Times New Roman" w:hAnsi="Times New Roman"/>
          <w:b w:val="0"/>
          <w:i w:val="0"/>
        </w:rPr>
        <w:t xml:space="preserve"> We developed QianLieAnHui, a three-layer hybrid: (1) a deterministic rule engine (12 consensus + 4 patient-factor escalation rules, cross-checked against EAU and AUA/ASTRO guidelines) emitting hard constraints; (2) risk-guided retrieval over a LightRAG knowledge graph (357 evidence chunks, 1,864 entities, 3,078 relations, traceable to the consensus); (3) an LLM arbiter emitting one of five executable actions with statement-level citations. Four methods × five seeds × 112 statements (2,240 runs) were benchmarked under one fixed generator (GLM-5.3-Flash); baselines were re-run with flagship-tier GLM-5.3.</w:t>
      </w:r>
    </w:p>
    <w:p>
      <w:r>
        <w:rPr>
          <w:rFonts w:ascii="Times New Roman" w:hAnsi="Times New Roman"/>
          <w:b/>
          <w:i w:val="0"/>
        </w:rPr>
        <w:t>Results:</w:t>
      </w:r>
      <w:r>
        <w:rPr>
          <w:rFonts w:ascii="Times New Roman" w:hAnsi="Times New Roman"/>
          <w:b w:val="0"/>
          <w:i w:val="0"/>
        </w:rPr>
        <w:t xml:space="preserve"> The full system achieved exact-5 accuracy 0.805±0.012 (±SD over 5 seeds), Cohen's κ 0.730±0.016, and against-class F1 0.908±0.023, versus strongest baseline LightRAG-only (0.613, 0.536, 0.525, 0.881), naive RAG (0.605, 0.514, 0.512, 0.890), and pure LLM (0.304, 0.254, 0.079, 0.346); all differences significant (FDR-adjusted p ≤ 0.001). Retrieval baselines collapsed onto frequent classes (conditional: 0.8% of retrieval-baseline runs versus 17.0% for the full system). Upgrading the generator did not rescue naive RAG (0.605→0.538).</w:t>
      </w:r>
    </w:p>
    <w:p>
      <w:r>
        <w:rPr>
          <w:rFonts w:ascii="Times New Roman" w:hAnsi="Times New Roman"/>
          <w:b/>
          <w:i w:val="0"/>
        </w:rPr>
        <w:t>Conclusions:</w:t>
      </w:r>
      <w:r>
        <w:rPr>
          <w:rFonts w:ascii="Times New Roman" w:hAnsi="Times New Roman"/>
          <w:b w:val="0"/>
          <w:i w:val="0"/>
        </w:rPr>
        <w:t xml:space="preserve"> Fine-grained action-space competence must be built into the architecture—rule-level priors and hard constraints—not delegated to prompting or larger models. Architecture, not generator tier, was the dominant lever; every output traces to consensus statements and evidence chunks, supporting clinical governance audits.</w:t>
      </w:r>
    </w:p>
    <w:p>
      <w:r>
        <w:rPr>
          <w:rFonts w:ascii="Times New Roman" w:hAnsi="Times New Roman"/>
          <w:b w:val="0"/>
          <w:i w:val="0"/>
        </w:rPr>
        <w:t>---</w:t>
      </w:r>
    </w:p>
    <w:p>
      <w:pPr>
        <w:pStyle w:val="Heading1"/>
      </w:pPr>
      <w:r>
        <w:rPr>
          <w:rFonts w:ascii="Times New Roman" w:hAnsi="Times New Roman"/>
          <w:b w:val="0"/>
          <w:i w:val="0"/>
        </w:rPr>
        <w:t>Introduction</w:t>
      </w:r>
    </w:p>
    <w:p>
      <w:r>
        <w:rPr>
          <w:rFonts w:ascii="Times New Roman" w:hAnsi="Times New Roman"/>
          <w:b w:val="0"/>
          <w:i w:val="0"/>
        </w:rPr>
        <w:t>Prostate cancer is among the most common malignancies in men [1,2]; population-level PSA screening reduces disease-specific mortality [3] and directs a diagnostic pathway whose cornerstone is biopsy [4]. The modern biopsy pathway extends far beyond a single "to biopsy or not" question: whether to add systematic cores to MRI-targeted cores [5], which saturation scheme to use [6], transperineal versus transrectal access — whose sepsis and pain trade-offs have now been quantified by a multicentre randomised trial and a meta-analysis of randomised trials [7,8] — anaesthesia and antimicrobial prophylaxis, where targeted versus empirical strategies measurably change post-biopsy sepsis risk [9], and whether the harvested tissue satisfies the demands of subsequent treatment planning, given the persistent biopsy-to-prostatectomy grade discordance [10]. These choices must all be weighed against patient-specific factors — PI-RADS grade [11], PSA density [12], MRI quality, prior negative biopsy, anticoagulation, urinary-tract-infection risk factors, prostate volume, and more — against the backdrop of a complication burden that is far from negligible [13,14], and as codified in the EAU Prostate Cancer Guidelines [15], the AUA/ASTRO Clinically Localized Prostate Cancer Guideline [16] with its 2026 Amendment [17], and the ProBIOPSY consensus [4]. This pathway rests on validated mpMRI diagnostic accuracy [18], tempered by moderate inter-reader agreement for PI-RADS version 2 [19], and on repeated demonstrations that MRI-targeted sampling improves clinically significant cancer detection [20-23]. The ProBIOPSY consensus, a multidisciplinary international effort published in 2026, codified this pathway into 112 final statements and documented substantial international practice variation [4].</w:t>
      </w:r>
    </w:p>
    <w:p>
      <w:r>
        <w:rPr>
          <w:rFonts w:ascii="Times New Roman" w:hAnsi="Times New Roman"/>
          <w:b w:val="0"/>
          <w:i w:val="0"/>
        </w:rPr>
        <w:t xml:space="preserve">Four operational pain points of this pathway motivate the present design. </w:t>
      </w:r>
      <w:r>
        <w:rPr>
          <w:rFonts w:ascii="Times New Roman" w:hAnsi="Times New Roman"/>
          <w:b/>
          <w:i w:val="0"/>
        </w:rPr>
        <w:t>(i) Contextual safety decisions that generic guidance cannot resolve.</w:t>
      </w:r>
      <w:r>
        <w:rPr>
          <w:rFonts w:ascii="Times New Roman" w:hAnsi="Times New Roman"/>
          <w:b w:val="0"/>
          <w:i w:val="0"/>
        </w:rPr>
        <w:t xml:space="preserve"> Prostate biopsy carries a well-characterised complication burden [24], and the correct route, prophylaxis intensity, and scheme depend on the individual patient's risk profile — the very decisions where one-size-fits-all advice fails and a shortcut to "no biopsy" or "always biopsy" is clinically unacceptable. </w:t>
      </w:r>
      <w:r>
        <w:rPr>
          <w:rFonts w:ascii="Times New Roman" w:hAnsi="Times New Roman"/>
          <w:b/>
          <w:i w:val="0"/>
        </w:rPr>
        <w:t>(ii) A combinatorial, non-executable evidence base.</w:t>
      </w:r>
      <w:r>
        <w:rPr>
          <w:rFonts w:ascii="Times New Roman" w:hAnsi="Times New Roman"/>
          <w:b w:val="0"/>
          <w:i w:val="0"/>
        </w:rPr>
        <w:t xml:space="preserve"> A consensus document or guideline is not an executable artifact: clinicians face a space of patient scenarios × biopsy decisions (51 scenario archetypes × 54 decision items in the registries developed here) that static lookup cannot cover. </w:t>
      </w:r>
      <w:r>
        <w:rPr>
          <w:rFonts w:ascii="Times New Roman" w:hAnsi="Times New Roman"/>
          <w:b/>
          <w:i w:val="0"/>
        </w:rPr>
        <w:t>(iii) Knowledge tools that decay or distract.</w:t>
      </w:r>
      <w:r>
        <w:rPr>
          <w:rFonts w:ascii="Times New Roman" w:hAnsi="Times New Roman"/>
          <w:b w:val="0"/>
          <w:i w:val="0"/>
        </w:rPr>
        <w:t xml:space="preserve"> Rule-based clinical decision support systems (CDSS) capture deterministic logic but are slow to update [25], contribute to alert fatigue [26], and struggle with natural-language evidence [27]. </w:t>
      </w:r>
      <w:r>
        <w:rPr>
          <w:rFonts w:ascii="Times New Roman" w:hAnsi="Times New Roman"/>
          <w:b/>
          <w:i w:val="0"/>
        </w:rPr>
        <w:t>(iv) Flexible-but-unreliable generation.</w:t>
      </w:r>
      <w:r>
        <w:rPr>
          <w:rFonts w:ascii="Times New Roman" w:hAnsi="Times New Roman"/>
          <w:b w:val="0"/>
          <w:i w:val="0"/>
        </w:rPr>
        <w:t xml:space="preserve"> Large language models (LLMs) promise flexible language understanding [28,29] and are approaching expert performance on medical question answering [30,31], yet carry well-documented risks in medicine — hallucination, unstable outputs, and unverifiable provenance [32] — and can diverge from clinical guidelines [33]. Domain-specific LLM agents are now emerging rapidly — for atrial-fibrillation patient self-management [34], suspected-hypertension management [35], prostate-cancer patient education [36], and gene-set analysis with self-verification [37] — yet these frameworks rely on retrieval and prompt-level reflection without deterministic safeguards, and none, to our knowledge, is evaluated against a statement-level guideline gold standard. RAG grounds generation in an external corpus [38], and medical RAG benchmarks show promise [39], but purely retrieval-based pipelines have no mechanism to </w:t>
      </w:r>
      <w:r>
        <w:rPr>
          <w:rFonts w:ascii="Times New Roman" w:hAnsi="Times New Roman"/>
          <w:b w:val="0"/>
          <w:i/>
        </w:rPr>
        <w:t>forbid</w:t>
      </w:r>
      <w:r>
        <w:rPr>
          <w:rFonts w:ascii="Times New Roman" w:hAnsi="Times New Roman"/>
          <w:b w:val="0"/>
          <w:i w:val="0"/>
        </w:rPr>
        <w:t xml:space="preserve"> a plausible-sounding recommendation that contradicts the guideline.</w:t>
      </w:r>
    </w:p>
    <w:p>
      <w:r>
        <w:rPr>
          <w:rFonts w:ascii="Times New Roman" w:hAnsi="Times New Roman"/>
          <w:b w:val="0"/>
          <w:i w:val="0"/>
        </w:rPr>
        <w:t xml:space="preserve">These failure modes are complementary — and each architectural layer is aimed at a specific pain point. A deterministic rule engine can mechanically veto non-compliant outputs; knowledge-graph retrieval can expose a traceable evidence chain; an LLM arbiter can supply linguistic flexibility. Patient-factor escalation rules turn contextual safety guidance (route, prophylaxis intensity, scheme simplification) into deterministic hard constraints rather than prompt-level exhortations; MRI-quality and reader-variability caveats are represented as explicit scenario flags that both gate rules and boost retrieval; grade-group-driven treatment-planning statements anchor the largest statement domain; and the knowledge base's version integrity is machine-verified rather than assumed. Chained as </w:t>
      </w:r>
      <w:r>
        <w:rPr>
          <w:rFonts w:ascii="Times New Roman" w:hAnsi="Times New Roman"/>
          <w:b w:val="0"/>
          <w:i/>
        </w:rPr>
        <w:t>rule gate → graph evidence → LLM arbitration</w:t>
      </w:r>
      <w:r>
        <w:rPr>
          <w:rFonts w:ascii="Times New Roman" w:hAnsi="Times New Roman"/>
          <w:b w:val="0"/>
          <w:i w:val="0"/>
        </w:rPr>
        <w:t xml:space="preserve"> — an integration consistent with emerging roadmaps for unifying large language models and knowledge graphs [40] — each layer covers the others' failure modes while preserving a complete audit trail from every output back to numbered consensus statements and evidence chunks. At the retrieval layer we adopt LightRAG [41], a graph-based dual-level retrieval framework that outperforms Microsoft GraphRAG [42] on domain question answering at a fraction of the token cost.</w:t>
      </w:r>
    </w:p>
    <w:p>
      <w:r>
        <w:rPr>
          <w:rFonts w:ascii="Times New Roman" w:hAnsi="Times New Roman"/>
          <w:b w:val="0"/>
          <w:i w:val="0"/>
        </w:rPr>
        <w:t>We developed and validated QianLieAnHui (前列安汇; "probiopsy-rag"), a hybrid decision-support system for the prostate biopsy pathway, and quantified each architectural layer's contribution with a multi-method, multi-seed benchmark against the 112 ProBIOPSY final statements. Our contributions are:</w:t>
      </w:r>
    </w:p>
    <w:p>
      <w:r>
        <w:rPr>
          <w:rFonts w:ascii="Times New Roman" w:hAnsi="Times New Roman"/>
          <w:b w:val="0"/>
          <w:i w:val="0"/>
        </w:rPr>
        <w:t xml:space="preserve">1. </w:t>
      </w:r>
      <w:r>
        <w:rPr>
          <w:rFonts w:ascii="Times New Roman" w:hAnsi="Times New Roman"/>
          <w:b/>
          <w:i w:val="0"/>
        </w:rPr>
        <w:t>Architecture.</w:t>
      </w:r>
      <w:r>
        <w:rPr>
          <w:rFonts w:ascii="Times New Roman" w:hAnsi="Times New Roman"/>
          <w:b w:val="0"/>
          <w:i w:val="0"/>
        </w:rPr>
        <w:t xml:space="preserve"> To our knowledge the first biopsy-pathway decision-support system chaining deterministic rule hard constraints, LightRAG knowledge-graph retrieval, and LLM arbitration, aligned statement-by-statement with an international consensus.</w:t>
      </w:r>
    </w:p>
    <w:p>
      <w:r>
        <w:rPr>
          <w:rFonts w:ascii="Times New Roman" w:hAnsi="Times New Roman"/>
          <w:b w:val="0"/>
          <w:i w:val="0"/>
        </w:rPr>
        <w:t xml:space="preserve">2. </w:t>
      </w:r>
      <w:r>
        <w:rPr>
          <w:rFonts w:ascii="Times New Roman" w:hAnsi="Times New Roman"/>
          <w:b/>
          <w:i w:val="0"/>
        </w:rPr>
        <w:t>Gold-standard alignment.</w:t>
      </w:r>
      <w:r>
        <w:rPr>
          <w:rFonts w:ascii="Times New Roman" w:hAnsi="Times New Roman"/>
          <w:b w:val="0"/>
          <w:i w:val="0"/>
        </w:rPr>
        <w:t xml:space="preserve"> All 112 final statements mapped to five executable actions (endorse / endorse_option / conditional / report_option / against); we show that the two nuance-bearing classes — conditional and endorse_option — are almost never emitted by retrieval-augmented baselines, and are placed correctly by no baseline method.</w:t>
      </w:r>
    </w:p>
    <w:p>
      <w:r>
        <w:rPr>
          <w:rFonts w:ascii="Times New Roman" w:hAnsi="Times New Roman"/>
          <w:b w:val="0"/>
          <w:i w:val="0"/>
        </w:rPr>
        <w:t xml:space="preserve">3. </w:t>
      </w:r>
      <w:r>
        <w:rPr>
          <w:rFonts w:ascii="Times New Roman" w:hAnsi="Times New Roman"/>
          <w:b/>
          <w:i w:val="0"/>
        </w:rPr>
        <w:t>Reproducible benchmark.</w:t>
      </w:r>
      <w:r>
        <w:rPr>
          <w:rFonts w:ascii="Times New Roman" w:hAnsi="Times New Roman"/>
          <w:b w:val="0"/>
          <w:i w:val="0"/>
        </w:rPr>
        <w:t xml:space="preserve"> With the generator tier held fixed, the full system reached exact-5 0.805 (κ 0.730) versus pure-LLM 0.304, naive RAG 0.605, and LightRAG-only 0.613; upgrading the generator tier did not rescue baseline architectures (naive RAG exact-5 fell to 0.538).</w:t>
      </w:r>
    </w:p>
    <w:p>
      <w:r>
        <w:rPr>
          <w:rFonts w:ascii="Times New Roman" w:hAnsi="Times New Roman"/>
          <w:b w:val="0"/>
          <w:i w:val="0"/>
        </w:rPr>
        <w:t xml:space="preserve">4. </w:t>
      </w:r>
      <w:r>
        <w:rPr>
          <w:rFonts w:ascii="Times New Roman" w:hAnsi="Times New Roman"/>
          <w:b/>
          <w:i w:val="0"/>
        </w:rPr>
        <w:t>Reproducibility.</w:t>
      </w:r>
      <w:r>
        <w:rPr>
          <w:rFonts w:ascii="Times New Roman" w:hAnsi="Times New Roman"/>
          <w:b w:val="0"/>
          <w:i w:val="0"/>
        </w:rPr>
        <w:t xml:space="preserve"> Rules, registries, evidence corpus, all 2,240 raw predictions, and evaluation scripts are released; the index records the rule-file SHA-256 at build time so the app can verify index–rules version integrity.</w:t>
      </w:r>
    </w:p>
    <w:p>
      <w:pPr>
        <w:pStyle w:val="Heading1"/>
      </w:pPr>
      <w:r>
        <w:rPr>
          <w:rFonts w:ascii="Times New Roman" w:hAnsi="Times New Roman"/>
          <w:b w:val="0"/>
          <w:i w:val="0"/>
        </w:rPr>
        <w:t>Methods</w:t>
      </w:r>
    </w:p>
    <w:p>
      <w:pPr>
        <w:pStyle w:val="Heading2"/>
      </w:pPr>
      <w:r>
        <w:rPr>
          <w:b/>
        </w:rPr>
      </w:r>
      <w:r>
        <w:rPr>
          <w:rFonts w:ascii="Times New Roman" w:hAnsi="Times New Roman"/>
          <w:b w:val="0"/>
          <w:i w:val="0"/>
        </w:rPr>
        <w:t>Study design and ethics</w:t>
      </w:r>
    </w:p>
    <w:p>
      <w:r>
        <w:rPr>
          <w:rFonts w:ascii="Times New Roman" w:hAnsi="Times New Roman"/>
          <w:b w:val="0"/>
          <w:i w:val="0"/>
        </w:rPr>
        <w:t>This is a system-development and benchmark-validation study. The computational evaluation involved no patient data or biological samples: the corpus derives solely from the published ProBIOPSY consensus and its supplementary material, the gold standard consists of the consensus' 112 published final statements, and demonstration cases are synthetic vignettes constructed by the study team. A four-expert blinded face-validity review was subsequently conducted (anonymous, voluntary participation; synthetic cases only; no identifiable data collected; participation-information sheet embedded in the questionnaire). Because no patient data and no interventional procedures were involved, institutional review board approval was not required (assessment documented during project planning).</w:t>
      </w:r>
    </w:p>
    <w:p>
      <w:pPr>
        <w:pStyle w:val="Heading2"/>
      </w:pPr>
      <w:r>
        <w:rPr>
          <w:b/>
        </w:rPr>
      </w:r>
      <w:r>
        <w:rPr>
          <w:rFonts w:ascii="Times New Roman" w:hAnsi="Times New Roman"/>
          <w:b w:val="0"/>
          <w:i w:val="0"/>
        </w:rPr>
        <w:t>Validation set: 112 ProBIOPSY final statements</w:t>
      </w:r>
    </w:p>
    <w:p>
      <w:r>
        <w:rPr>
          <w:rFonts w:ascii="Times New Roman" w:hAnsi="Times New Roman"/>
          <w:b w:val="0"/>
          <w:i w:val="0"/>
        </w:rPr>
        <w:t xml:space="preserve">All 112 final statements of the ProBIOPSY consensus [4] served as the gold standard. Each statement was mapped to an expected system action in a pre-defined five-class taxonomy: </w:t>
      </w:r>
      <w:r>
        <w:rPr>
          <w:rFonts w:ascii="Times New Roman" w:hAnsi="Times New Roman"/>
          <w:b/>
          <w:i w:val="0"/>
        </w:rPr>
        <w:t>endorse</w:t>
      </w:r>
      <w:r>
        <w:rPr>
          <w:rFonts w:ascii="Times New Roman" w:hAnsi="Times New Roman"/>
          <w:b w:val="0"/>
          <w:i w:val="0"/>
        </w:rPr>
        <w:t xml:space="preserve"> (support as stated), </w:t>
      </w:r>
      <w:r>
        <w:rPr>
          <w:rFonts w:ascii="Times New Roman" w:hAnsi="Times New Roman"/>
          <w:b/>
          <w:i w:val="0"/>
        </w:rPr>
        <w:t>endorse_option</w:t>
      </w:r>
      <w:r>
        <w:rPr>
          <w:rFonts w:ascii="Times New Roman" w:hAnsi="Times New Roman"/>
          <w:b w:val="0"/>
          <w:i w:val="0"/>
        </w:rPr>
        <w:t xml:space="preserve"> (support as one of several acceptable options), </w:t>
      </w:r>
      <w:r>
        <w:rPr>
          <w:rFonts w:ascii="Times New Roman" w:hAnsi="Times New Roman"/>
          <w:b/>
          <w:i w:val="0"/>
        </w:rPr>
        <w:t>conditional</w:t>
      </w:r>
      <w:r>
        <w:rPr>
          <w:rFonts w:ascii="Times New Roman" w:hAnsi="Times New Roman"/>
          <w:b w:val="0"/>
          <w:i w:val="0"/>
        </w:rPr>
        <w:t xml:space="preserve"> (support under specified conditions), </w:t>
      </w:r>
      <w:r>
        <w:rPr>
          <w:rFonts w:ascii="Times New Roman" w:hAnsi="Times New Roman"/>
          <w:b/>
          <w:i w:val="0"/>
        </w:rPr>
        <w:t>report_option</w:t>
      </w:r>
      <w:r>
        <w:rPr>
          <w:rFonts w:ascii="Times New Roman" w:hAnsi="Times New Roman"/>
          <w:b w:val="0"/>
          <w:i w:val="0"/>
        </w:rPr>
        <w:t xml:space="preserve"> (present as an available pathway without active recommendation), and </w:t>
      </w:r>
      <w:r>
        <w:rPr>
          <w:rFonts w:ascii="Times New Roman" w:hAnsi="Times New Roman"/>
          <w:b/>
          <w:i w:val="0"/>
        </w:rPr>
        <w:t>against</w:t>
      </w:r>
      <w:r>
        <w:rPr>
          <w:rFonts w:ascii="Times New Roman" w:hAnsi="Times New Roman"/>
          <w:b w:val="0"/>
          <w:i w:val="0"/>
        </w:rPr>
        <w:t xml:space="preserve"> (recommend against). The gold-standard action distribution is endorse 190, conditional 185, against 125, endorse_option 35, and report_option 25. Statements span three domains: indication (n = 23), procedure (n = 34), and treatment planning (n = 55, anchored by ISUP grade-group–driven treatment decisions [43]); 25 statements (22.3%) are against-class, providing a demanding test for systems with optimism bias. The five demonstration vignettes described under Results are synthetic cases built on the same registries and are not part of the 112-statement evaluation set.</w:t>
      </w:r>
    </w:p>
    <w:p>
      <w:pPr>
        <w:pStyle w:val="Heading2"/>
      </w:pPr>
      <w:r>
        <w:rPr>
          <w:b/>
        </w:rPr>
      </w:r>
      <w:r>
        <w:rPr>
          <w:rFonts w:ascii="Times New Roman" w:hAnsi="Times New Roman"/>
          <w:b w:val="0"/>
          <w:i w:val="0"/>
        </w:rPr>
        <w:t>System architecture</w:t>
      </w:r>
    </w:p>
    <w:p>
      <w:r>
        <w:rPr>
          <w:rFonts w:ascii="Times New Roman" w:hAnsi="Times New Roman"/>
          <w:b w:val="0"/>
          <w:i w:val="0"/>
        </w:rPr>
        <w:t>The input is a pair (patient clinical scenario × biopsy decision item); the output is a structured verdict: one of five actions, a confidence value, triggered rules, and citations to numbered consensus statements and evidence chunks (Figure 1).</w:t>
      </w:r>
    </w:p>
    <w:p>
      <w:r>
        <w:rPr>
          <w:rFonts w:ascii="Times New Roman" w:hAnsi="Times New Roman"/>
          <w:b/>
          <w:i w:val="0"/>
        </w:rPr>
        <w:t>Input layer: dual registries.</w:t>
      </w:r>
      <w:r>
        <w:rPr>
          <w:rFonts w:ascii="Times New Roman" w:hAnsi="Times New Roman"/>
          <w:b w:val="0"/>
          <w:i w:val="0"/>
        </w:rPr>
        <w:t xml:space="preserve"> Entity A (patient scenarios) contains 51 archetypes with 49 distinct scenario flags across imaging (PI-RADS grade, mpMRI/bpMRI, field strength, PI-QUAL quality [44]), laboratory markers (PSA, PSA density), history and risk (prior negative biopsy, family history, infection risk factors, anticoagulation), treatment intent, and resource availability (Table 1). Entity B (decision items) contains 54 items with 20 flags across indication (22), procedure (22), and treatment-planning linkage (10).</w:t>
      </w:r>
    </w:p>
    <w:p>
      <w:r>
        <w:rPr>
          <w:rFonts w:ascii="Times New Roman" w:hAnsi="Times New Roman"/>
          <w:b/>
          <w:i w:val="0"/>
        </w:rPr>
        <w:t>Layer 1: deterministic rule engine.</w:t>
      </w:r>
      <w:r>
        <w:rPr>
          <w:rFonts w:ascii="Times New Roman" w:hAnsi="Times New Roman"/>
          <w:b w:val="0"/>
          <w:i w:val="0"/>
        </w:rPr>
        <w:t xml:space="preserve"> The rule base (YAML) holds 16 rules: 12 consensus rules and 4 patient-factor escalation rules (Table 2). Each rule specifies trigger flag combinations (Entity A × Entity B flags), severity, mechanism category (imaging pathway, scheme selection, targeted biopsy, perioperative, treatment planning), and recommended action. Matching is fully deterministic — no LLM involved — and produces hard constraints for downstream layers (e.g., a mandatory veto or mandatory escalation), each carrying ProBIOPSY statement numbers (Q-codes) for provenance. Patient-factor rules escalate consensus rules in context (e.g., infection risk factors → prefer transperineal route or augmented prophylaxis; unfit for curative treatment → simplified biopsy scheme).</w:t>
      </w:r>
    </w:p>
    <w:p>
      <w:r>
        <w:rPr>
          <w:rFonts w:ascii="Times New Roman" w:hAnsi="Times New Roman"/>
          <w:b/>
          <w:i w:val="0"/>
        </w:rPr>
        <w:t>Layer 2: risk-guided LightRAG retrieval.</w:t>
      </w:r>
      <w:r>
        <w:rPr>
          <w:rFonts w:ascii="Times New Roman" w:hAnsi="Times New Roman"/>
          <w:b w:val="0"/>
          <w:i w:val="0"/>
        </w:rPr>
        <w:t xml:space="preserve"> The corpus comprises 357 evidence chunks, all sourced from the ProBIOPSY consensus and its supplementary material: the 112 final statements (evidence level B), 20 narrative passages, 7 systematic-review summaries, and 218 literature entries extracted from the consensus reference lists (level C). The index was built with LightRAG [41] (lightrag-hku 1.5.7); entity and relation extraction used GLM-5.3-Flash, and the vector index used doubao-embedding-vision-251215 (dimension 2,048). The final index contains 1,864 entities and 3,078 relations (~100 MB). The full system performs risk-guided retrieval: rule matches and active decision items drive entity-boosted hybrid queries (vector + graph structure), executed in context-only mode (retrieving entities, relations, and chunks without letting LightRAG generate the answer itself). Graph context is concatenated with lexical evidence (BM25-style scoring with boosts for active decision items and scenario flags) and passed to the arbiter.</w:t>
      </w:r>
    </w:p>
    <w:p>
      <w:r>
        <w:rPr>
          <w:rFonts w:ascii="Times New Roman" w:hAnsi="Times New Roman"/>
          <w:b/>
          <w:i w:val="0"/>
        </w:rPr>
        <w:t>Layer 3: LLM arbitration.</w:t>
      </w:r>
      <w:r>
        <w:rPr>
          <w:rFonts w:ascii="Times New Roman" w:hAnsi="Times New Roman"/>
          <w:b w:val="0"/>
          <w:i w:val="0"/>
        </w:rPr>
        <w:t xml:space="preserve"> The arbiter receives (i) scenario flags and decision items, (ii) rule matches with hard constraints, (iii) graph context, and (iv) lexical evidence, and outputs a structured verdict: one of five actions, confidence, a rationale, and citations. The arbitration prompt enforces rule-layer hard constraints: when a hard constraint determines the outcome, the arbiter may not contradict it. Arbitration used Zhipu GLM-5.3 via an OpenAI-compatible API (https://open.bigmodel.cn/api/paas/v4, accessed September 2026). On unparseable or failed LLM output the system degrades to the rule-layer conclusion and flags the record as degraded — failures are never silent.</w:t>
      </w:r>
    </w:p>
    <w:p>
      <w:r>
        <w:rPr>
          <w:rFonts w:ascii="Times New Roman" w:hAnsi="Times New Roman"/>
          <w:b/>
          <w:i w:val="0"/>
        </w:rPr>
        <w:t>Alignment with external guidelines.</w:t>
      </w:r>
      <w:r>
        <w:rPr>
          <w:rFonts w:ascii="Times New Roman" w:hAnsi="Times New Roman"/>
          <w:b w:val="0"/>
          <w:i w:val="0"/>
        </w:rPr>
        <w:t xml:space="preserve"> The rule base was cross-checked against the EAU Prostate Cancer Guidelines [15] and the AUA/ASTRO Clinically Localized Prostate Cancer Guideline [16] and its 2026 Amendment [17]; all 16 rules are consistent with these documents at the action level (mpMRI before biopsy, image-quality gating of the biopsy decision, transperineal preference where available, risk-adapted antimicrobial prophylaxis, and ISUP grade-group–driven treatment-planning linkage). Where guideline wording diverges, the ProBIOPSY consensus governs, because the consensus serves as the evaluation gold standard; divergences are recorded in the per-rule rationale fields. External guideline text was deliberately excluded from the retrieval corpus: a single-source corpus preserves a controlled consensus-conformance evaluation (see Limitations) and avoids redistribution constraints attached to copyrighted guideline text. Guideline-level recommendations therefore enter the system through the rule layer's cross-check, not through retrieval.</w:t>
      </w:r>
    </w:p>
    <w:p>
      <w:pPr>
        <w:pStyle w:val="Heading2"/>
      </w:pPr>
      <w:r>
        <w:rPr>
          <w:b/>
        </w:rPr>
      </w:r>
      <w:r>
        <w:rPr>
          <w:rFonts w:ascii="Times New Roman" w:hAnsi="Times New Roman"/>
          <w:b w:val="0"/>
          <w:i w:val="0"/>
        </w:rPr>
        <w:t>Baseline methods</w:t>
      </w:r>
    </w:p>
    <w:p>
      <w:r>
        <w:rPr>
          <w:rFonts w:ascii="Times New Roman" w:hAnsi="Times New Roman"/>
          <w:b w:val="0"/>
          <w:i w:val="0"/>
        </w:rPr>
        <w:t xml:space="preserve">1. </w:t>
      </w:r>
      <w:r>
        <w:rPr>
          <w:rFonts w:ascii="Times New Roman" w:hAnsi="Times New Roman"/>
          <w:b/>
          <w:i w:val="0"/>
        </w:rPr>
        <w:t>pure_llm</w:t>
      </w:r>
      <w:r>
        <w:rPr>
          <w:rFonts w:ascii="Times New Roman" w:hAnsi="Times New Roman"/>
          <w:b w:val="0"/>
          <w:i w:val="0"/>
        </w:rPr>
        <w:t xml:space="preserve"> — question answered directly by the LLM with no retrieval and no rules;</w:t>
      </w:r>
    </w:p>
    <w:p>
      <w:r>
        <w:rPr>
          <w:rFonts w:ascii="Times New Roman" w:hAnsi="Times New Roman"/>
          <w:b w:val="0"/>
          <w:i w:val="0"/>
        </w:rPr>
        <w:t xml:space="preserve">2. </w:t>
      </w:r>
      <w:r>
        <w:rPr>
          <w:rFonts w:ascii="Times New Roman" w:hAnsi="Times New Roman"/>
          <w:b/>
          <w:i w:val="0"/>
        </w:rPr>
        <w:t>naive_rag</w:t>
      </w:r>
      <w:r>
        <w:rPr>
          <w:rFonts w:ascii="Times New Roman" w:hAnsi="Times New Roman"/>
          <w:b w:val="0"/>
          <w:i w:val="0"/>
        </w:rPr>
        <w:t xml:space="preserve"> — BM25-style lexical retrieval of top-6 chunks (mean 3,644 characters) inserted into the prompt;</w:t>
      </w:r>
    </w:p>
    <w:p>
      <w:r>
        <w:rPr>
          <w:rFonts w:ascii="Times New Roman" w:hAnsi="Times New Roman"/>
          <w:b w:val="0"/>
          <w:i w:val="0"/>
        </w:rPr>
        <w:t xml:space="preserve">3. </w:t>
      </w:r>
      <w:r>
        <w:rPr>
          <w:rFonts w:ascii="Times New Roman" w:hAnsi="Times New Roman"/>
          <w:b/>
          <w:i w:val="0"/>
        </w:rPr>
        <w:t>lightrag-only</w:t>
      </w:r>
      <w:r>
        <w:rPr>
          <w:rFonts w:ascii="Times New Roman" w:hAnsi="Times New Roman"/>
          <w:b w:val="0"/>
          <w:i w:val="0"/>
        </w:rPr>
        <w:t xml:space="preserve"> — end-to-end LightRAG hybrid-mode question answering (mean 2,468 characters), with no rule guidance and no hard constraints.</w:t>
      </w:r>
    </w:p>
    <w:p>
      <w:r>
        <w:rPr>
          <w:rFonts w:ascii="Times New Roman" w:hAnsi="Times New Roman"/>
          <w:b w:val="0"/>
          <w:i w:val="0"/>
        </w:rPr>
        <w:t>The full system uses a mean of 7,640 characters (graph + lexical), substantially more than the RAG baselines but bounded by a hard context budget.</w:t>
      </w:r>
    </w:p>
    <w:p>
      <w:pPr>
        <w:pStyle w:val="Heading2"/>
      </w:pPr>
      <w:r>
        <w:rPr>
          <w:b/>
        </w:rPr>
      </w:r>
      <w:r>
        <w:rPr>
          <w:rFonts w:ascii="Times New Roman" w:hAnsi="Times New Roman"/>
          <w:b w:val="0"/>
          <w:i w:val="0"/>
        </w:rPr>
        <w:t>Benchmark protocol</w:t>
      </w:r>
    </w:p>
    <w:p>
      <w:r>
        <w:rPr>
          <w:rFonts w:ascii="Times New Roman" w:hAnsi="Times New Roman"/>
          <w:b w:val="0"/>
          <w:i w:val="0"/>
        </w:rPr>
        <w:t xml:space="preserve">Four methods × five seeds (0–4; temperature 0.2) × 112 statements = </w:t>
      </w:r>
      <w:r>
        <w:rPr>
          <w:rFonts w:ascii="Times New Roman" w:hAnsi="Times New Roman"/>
          <w:b/>
          <w:i w:val="0"/>
        </w:rPr>
        <w:t>2,240 runs</w:t>
      </w:r>
      <w:r>
        <w:rPr>
          <w:rFonts w:ascii="Times New Roman" w:hAnsi="Times New Roman"/>
          <w:b w:val="0"/>
          <w:i w:val="0"/>
        </w:rPr>
        <w:t xml:space="preserve">, resumable by (method, seed, statement_id) key. </w:t>
      </w:r>
      <w:r>
        <w:rPr>
          <w:rFonts w:ascii="Times New Roman" w:hAnsi="Times New Roman"/>
          <w:b/>
          <w:i w:val="0"/>
        </w:rPr>
        <w:t>The generator was held fixed at GLM-5.3-Flash for all methods and seeds</w:t>
      </w:r>
      <w:r>
        <w:rPr>
          <w:rFonts w:ascii="Times New Roman" w:hAnsi="Times New Roman"/>
          <w:b w:val="0"/>
          <w:i w:val="0"/>
        </w:rPr>
        <w:t>, so that inter-method differences are attributable to retrieval and decision architecture (rules, retrieval strategy, hard constraints) rather than model capability; rate-limiting parameters were identical across methods. All 2,240 runs returned successfully with zero errors and zero degraded records. As a generator-robustness supplement, pure_llm and naive_rag were re-run in full with the flagship GLM-5.3 tier (5 seeds × 112 statements = 1,120 records).</w:t>
      </w:r>
    </w:p>
    <w:p>
      <w:pPr>
        <w:pStyle w:val="Heading2"/>
      </w:pPr>
      <w:r>
        <w:rPr>
          <w:b/>
        </w:rPr>
      </w:r>
      <w:r>
        <w:rPr>
          <w:rFonts w:ascii="Times New Roman" w:hAnsi="Times New Roman"/>
          <w:b w:val="0"/>
          <w:i w:val="0"/>
        </w:rPr>
        <w:t>Expert blinded review</w:t>
      </w:r>
    </w:p>
    <w:p>
      <w:r>
        <w:rPr>
          <w:rFonts w:ascii="Times New Roman" w:hAnsi="Times New Roman"/>
          <w:b w:val="0"/>
          <w:i w:val="0"/>
        </w:rPr>
        <w:t>The five demonstration cases were rated by an independent four-expert panel (two urological surgeons, one radiologist, one radiation oncologist; none involved in development). Each case was presented as a composite proposition assembled from declarative decision items. In a blinded first pass, experts selected their own five-class action for the composite proposition; the system verdict (action, confidence, rationale, citations) was then revealed, and experts rated four Likert dimensions (clarity, usefulness, recommendation agreement, evidence sufficiency; 1–5). Pre-registered analysis rules: expert majority = modal rating; 2:2 splits recorded as no-majority and excluded from the system-versus-majority Cohen κ; all agreement statistics interpreted as preliminary given the sample size. The questionnaire and verbatim expert comments are provided in Supplementary S6.</w:t>
      </w:r>
    </w:p>
    <w:p>
      <w:pPr>
        <w:pStyle w:val="Heading2"/>
      </w:pPr>
      <w:r>
        <w:rPr>
          <w:b/>
        </w:rPr>
      </w:r>
      <w:r>
        <w:rPr>
          <w:rFonts w:ascii="Times New Roman" w:hAnsi="Times New Roman"/>
          <w:b w:val="0"/>
          <w:i w:val="0"/>
        </w:rPr>
        <w:t>Metrics</w:t>
      </w:r>
    </w:p>
    <w:p>
      <w:r>
        <w:rPr>
          <w:rFonts w:ascii="Times New Roman" w:hAnsi="Times New Roman"/>
          <w:b w:val="0"/>
          <w:i w:val="0"/>
        </w:rPr>
        <w:t>Exact-5-class accuracy (primary), exact-3 accuracy (collapsing endorse_option→endorse and report_option→conditional, to expose majority-class inflation), five-class macro-F1, Cohen's κ [45] against the gold standard, and binary against-class sensitivity/specificity/F1. All metrics are reported as mean ± SD over the five seeds. Method differences were assessed with two-sided paired t-tests across seeds (full system vs each baseline; exact-5 and κ; six comparisons), with Benjamini–Hochberg false-discovery-rate correction [46]. Context characters per run were logged as an efficiency metric.</w:t>
      </w:r>
    </w:p>
    <w:p>
      <w:pPr>
        <w:pStyle w:val="Heading2"/>
      </w:pPr>
      <w:r>
        <w:rPr>
          <w:b/>
        </w:rPr>
      </w:r>
      <w:r>
        <w:rPr>
          <w:rFonts w:ascii="Times New Roman" w:hAnsi="Times New Roman"/>
          <w:b w:val="0"/>
          <w:i w:val="0"/>
        </w:rPr>
        <w:t>Implementation and reproducibility</w:t>
      </w:r>
    </w:p>
    <w:p>
      <w:r>
        <w:rPr>
          <w:rFonts w:ascii="Times New Roman" w:hAnsi="Times New Roman"/>
          <w:b w:val="0"/>
          <w:i w:val="0"/>
        </w:rPr>
        <w:t>The system is implemented in Python 3.13 on lightrag-hku 1.5.7. The rule base, both registries, the evidence corpus, the gold-standard annotations, all 2,240 raw predictions (with per-run context size and retrieved-chunk counts), and the evaluation scripts are released with the code. At index build time the SHA-256 of the rule file is recorded (`index_built_against_rules_sha256`); the application UI verifies this digest against the live rule file to prevent silent index–rules divergence.</w:t>
      </w:r>
    </w:p>
    <w:p>
      <w:pPr>
        <w:pStyle w:val="Heading1"/>
      </w:pPr>
      <w:r>
        <w:rPr>
          <w:rFonts w:ascii="Times New Roman" w:hAnsi="Times New Roman"/>
          <w:b w:val="0"/>
          <w:i w:val="0"/>
        </w:rPr>
        <w:t>Results</w:t>
      </w:r>
    </w:p>
    <w:p>
      <w:pPr>
        <w:pStyle w:val="Heading2"/>
      </w:pPr>
      <w:r>
        <w:rPr>
          <w:b/>
        </w:rPr>
      </w:r>
      <w:r>
        <w:rPr>
          <w:rFonts w:ascii="Times New Roman" w:hAnsi="Times New Roman"/>
          <w:b w:val="0"/>
          <w:i w:val="0"/>
        </w:rPr>
        <w:t>Overview</w:t>
      </w:r>
    </w:p>
    <w:p>
      <w:r>
        <w:rPr>
          <w:rFonts w:ascii="Times New Roman" w:hAnsi="Times New Roman"/>
          <w:b w:val="0"/>
          <w:i w:val="0"/>
        </w:rPr>
        <w:t>All 2,240 runs (4 methods × 5 seeds × 112 statements) completed successfully with zero errors and zero degraded outputs. Table 3 reports the performance matrix; Figure 2 shows per-seed distributions.</w:t>
      </w:r>
    </w:p>
    <w:p>
      <w:pPr>
        <w:pStyle w:val="Heading2"/>
      </w:pPr>
      <w:r>
        <w:rPr>
          <w:b/>
        </w:rPr>
      </w:r>
      <w:r>
        <w:rPr>
          <w:rFonts w:ascii="Times New Roman" w:hAnsi="Times New Roman"/>
          <w:b w:val="0"/>
          <w:i w:val="0"/>
        </w:rPr>
        <w:t>Headline performance (Table 3, Figure 2)</w:t>
      </w:r>
    </w:p>
    <w:p>
      <w:r>
        <w:rPr>
          <w:rFonts w:ascii="Times New Roman" w:hAnsi="Times New Roman"/>
          <w:b w:val="0"/>
          <w:i w:val="0"/>
        </w:rPr>
        <w:t xml:space="preserve">The full system outperformed all three baselines on every fine-grained metric (Table 3): exact-5 0.805 ± 0.012 versus 0.613 (LightRAG-only), 0.605 (naive RAG), and 0.304 (pure LLM); κ 0.730 ± 0.016 versus 0.525, 0.512, and 0.079; macro-F1 0.825 ± 0.022 versus 0.536, 0.514, and 0.254. Relative to the strongest baseline this is </w:t>
      </w:r>
      <w:r>
        <w:rPr>
          <w:rFonts w:ascii="Times New Roman" w:hAnsi="Times New Roman"/>
          <w:b/>
          <w:i w:val="0"/>
        </w:rPr>
        <w:t>+19.2 percentage points exact-5 and +0.205 κ</w:t>
      </w:r>
      <w:r>
        <w:rPr>
          <w:rFonts w:ascii="Times New Roman" w:hAnsi="Times New Roman"/>
          <w:b w:val="0"/>
          <w:i w:val="0"/>
        </w:rPr>
        <w:t>. All six paired seed-level comparisons (full system vs each baseline; exact-5 and κ) remain significant after Benjamini–Hochberg FDR correction (paired t(4) = 8.9–25.3, all adjusted p ≤ 8.9 × 10⁻⁴). Seed-to-seed variation was small (exact-5 SD 0.012), indicating the advantage is not a stochastic artifact.</w:t>
      </w:r>
    </w:p>
    <w:p>
      <w:pPr>
        <w:pStyle w:val="Heading2"/>
      </w:pPr>
      <w:r>
        <w:rPr>
          <w:b/>
        </w:rPr>
      </w:r>
      <w:r>
        <w:rPr>
          <w:rFonts w:ascii="Times New Roman" w:hAnsi="Times New Roman"/>
          <w:b w:val="0"/>
          <w:i w:val="0"/>
        </w:rPr>
        <w:t>Baselines collapse onto frequent classes (Figure 2C)</w:t>
      </w:r>
    </w:p>
    <w:p>
      <w:r>
        <w:rPr>
          <w:rFonts w:ascii="Times New Roman" w:hAnsi="Times New Roman"/>
          <w:b w:val="0"/>
          <w:i w:val="0"/>
        </w:rPr>
        <w:t xml:space="preserve">The macro-F1 pattern exposes a failure mode invisible to exact-3: both RAG baselines reach high exact-3 accuracy (0.920 / 0.905 — nominally above the full system's 0.823) while their exact-5 (~0.61) and macro-F1 (~0.52) reveal class collapse. Their predicted distributions over 560 runs each concentrate on three frequent classes — LightRAG-only: endorse 162, report_option 168, against 159, endorse_option 68, </w:t>
      </w:r>
      <w:r>
        <w:rPr>
          <w:rFonts w:ascii="Times New Roman" w:hAnsi="Times New Roman"/>
          <w:b/>
          <w:i w:val="0"/>
        </w:rPr>
        <w:t>conditional 3</w:t>
      </w:r>
      <w:r>
        <w:rPr>
          <w:rFonts w:ascii="Times New Roman" w:hAnsi="Times New Roman"/>
          <w:b w:val="0"/>
          <w:i w:val="0"/>
        </w:rPr>
        <w:t xml:space="preserve">; naive RAG: endorse 175, report_option 165, against 154, endorse_option 60, </w:t>
      </w:r>
      <w:r>
        <w:rPr>
          <w:rFonts w:ascii="Times New Roman" w:hAnsi="Times New Roman"/>
          <w:b/>
          <w:i w:val="0"/>
        </w:rPr>
        <w:t>conditional 6</w:t>
      </w:r>
      <w:r>
        <w:rPr>
          <w:rFonts w:ascii="Times New Roman" w:hAnsi="Times New Roman"/>
          <w:b w:val="0"/>
          <w:i w:val="0"/>
        </w:rPr>
        <w:t xml:space="preserve"> (Figure 2C). Pure LLM emits conditional and endorse_option more often (14 and 90 of 560 runs) but places them almost never correctly (κ 0.079). The full system uses all five classes substantively: endorse 280, conditional 95, against 115, report_option 32, endorse_option 38. In other words, retrieval-augmented baselines almost never express </w:t>
      </w:r>
      <w:r>
        <w:rPr>
          <w:rFonts w:ascii="Times New Roman" w:hAnsi="Times New Roman"/>
          <w:b w:val="0"/>
          <w:i/>
        </w:rPr>
        <w:t>conditional endorsement</w:t>
      </w:r>
      <w:r>
        <w:rPr>
          <w:rFonts w:ascii="Times New Roman" w:hAnsi="Times New Roman"/>
          <w:b w:val="0"/>
          <w:i w:val="0"/>
        </w:rPr>
        <w:t xml:space="preserve"> and </w:t>
      </w:r>
      <w:r>
        <w:rPr>
          <w:rFonts w:ascii="Times New Roman" w:hAnsi="Times New Roman"/>
          <w:b w:val="0"/>
          <w:i/>
        </w:rPr>
        <w:t>equivalent-option endorsement</w:t>
      </w:r>
      <w:r>
        <w:rPr>
          <w:rFonts w:ascii="Times New Roman" w:hAnsi="Times New Roman"/>
          <w:b w:val="0"/>
          <w:i w:val="0"/>
        </w:rPr>
        <w:t xml:space="preserve"> — the two actions most critical for nuanced clinical communication — emitting them in 0.5–1.1% of runs versus 17.0% and 6.8% for the full system, and no baseline places them in the right places (κ 0.730 versus ~0.52).</w:t>
      </w:r>
    </w:p>
    <w:p>
      <w:pPr>
        <w:pStyle w:val="Heading2"/>
      </w:pPr>
      <w:r>
        <w:rPr>
          <w:b/>
        </w:rPr>
      </w:r>
      <w:r>
        <w:rPr>
          <w:rFonts w:ascii="Times New Roman" w:hAnsi="Times New Roman"/>
          <w:b w:val="0"/>
          <w:i w:val="0"/>
        </w:rPr>
        <w:t>Against-class behaviour: safe vetoing</w:t>
      </w:r>
    </w:p>
    <w:p>
      <w:r>
        <w:rPr>
          <w:rFonts w:ascii="Times New Roman" w:hAnsi="Times New Roman"/>
          <w:b w:val="0"/>
          <w:i w:val="0"/>
        </w:rPr>
        <w:t>Against is the safety-critical class (22.3% of the gold standard). The full system achieved against-F1 0.908 ± 0.023 (sensitivity 0.872 ± 0.018, specificity 0.986 ± 0.010). LightRAG-only reached F1 0.881 with sensitivity 1.000 but specificity only 0.922 — over-calling against — and naive RAG behaved identically (F1 0.890; sens 0.992 / spec 0.931). Pure LLM achieved F1 0.346 (sens 0.416 / spec 0.720). The full system trades a modest sensitivity reduction for near-zero false vetoes, a behavioural difference attributable to hard-constrained arbitration: against is emitted only when rules or evidence explicitly support it.</w:t>
      </w:r>
    </w:p>
    <w:p>
      <w:pPr>
        <w:pStyle w:val="Heading2"/>
      </w:pPr>
      <w:r>
        <w:rPr>
          <w:b/>
        </w:rPr>
      </w:r>
      <w:r>
        <w:rPr>
          <w:rFonts w:ascii="Times New Roman" w:hAnsi="Times New Roman"/>
          <w:b w:val="0"/>
          <w:i w:val="0"/>
        </w:rPr>
        <w:t>Residual errors: conditional endorsement is the hardest class</w:t>
      </w:r>
    </w:p>
    <w:p>
      <w:r>
        <w:rPr>
          <w:rFonts w:ascii="Times New Roman" w:hAnsi="Times New Roman"/>
          <w:b w:val="0"/>
          <w:i w:val="0"/>
        </w:rPr>
        <w:t>The full system's aggregated confusion matrix (Supplementary Table S1) shows near-perfect endorsement behaviour (gold endorse: 190/190 correct) but conditional recall of 95/185 (0.51): of the 185 gold-conditional statements, 74 were predicted endorse, 10 report_option, and 6 against. Errors on conditional therefore skew over-permissive — the direction clinical governance is most concerned about — motivating class-specific calibration as future work. Per-domain confusion matrices (Supplementary Table S1) show this pattern is most pronounced in treatment planning, the against-densest domain.</w:t>
      </w:r>
    </w:p>
    <w:p>
      <w:pPr>
        <w:pStyle w:val="Heading2"/>
      </w:pPr>
      <w:r>
        <w:rPr>
          <w:b/>
        </w:rPr>
      </w:r>
      <w:r>
        <w:rPr>
          <w:rFonts w:ascii="Times New Roman" w:hAnsi="Times New Roman"/>
          <w:b w:val="0"/>
          <w:i w:val="0"/>
        </w:rPr>
        <w:t>Generator tier does not rescue baseline architectures (supplementary experiment)</w:t>
      </w:r>
    </w:p>
    <w:p>
      <w:r>
        <w:rPr>
          <w:rFonts w:ascii="Times New Roman" w:hAnsi="Times New Roman"/>
          <w:b w:val="0"/>
          <w:i w:val="0"/>
        </w:rPr>
        <w:t xml:space="preserve">Re-running pure_llm and naive_rag with the flagship GLM-5.3 tier (1,120 runs) changed the conclusion qualitatively not at all and quantitatively for the worse: naive_rag exact-5 fell from 0.605 to 0.538 ± 0.012 (κ 0.512 → 0.450) and pure_llm remained at 0.288 ± 0.013 (κ 0.132). A stronger generator cannot compensate for a missing rule layer and hard constraints; flagship-tier models collapse onto majority classes just as flash-tier models do. This isolates </w:t>
      </w:r>
      <w:r>
        <w:rPr>
          <w:rFonts w:ascii="Times New Roman" w:hAnsi="Times New Roman"/>
          <w:b w:val="0"/>
          <w:i/>
        </w:rPr>
        <w:t>architecture</w:t>
      </w:r>
      <w:r>
        <w:rPr>
          <w:rFonts w:ascii="Times New Roman" w:hAnsi="Times New Roman"/>
          <w:b w:val="0"/>
          <w:i w:val="0"/>
        </w:rPr>
        <w:t xml:space="preserve"> — not model selection — as the differentiator.</w:t>
      </w:r>
    </w:p>
    <w:p>
      <w:pPr>
        <w:pStyle w:val="Heading2"/>
      </w:pPr>
      <w:r>
        <w:rPr>
          <w:b/>
        </w:rPr>
      </w:r>
      <w:r>
        <w:rPr>
          <w:rFonts w:ascii="Times New Roman" w:hAnsi="Times New Roman"/>
          <w:b w:val="0"/>
          <w:i w:val="0"/>
        </w:rPr>
        <w:t>Domain breakdown (Table 4)</w:t>
      </w:r>
    </w:p>
    <w:p>
      <w:r>
        <w:rPr>
          <w:rFonts w:ascii="Times New Roman" w:hAnsi="Times New Roman"/>
          <w:b w:val="0"/>
          <w:i w:val="0"/>
        </w:rPr>
        <w:t>Against-class density varies sharply by domain (indication 8.7%, procedure 14.7%, treatment planning 32.7%). The full system retains its overall advantage in the against-densest domain; per-domain confusion matrices are provided in Supplementary Table S1.</w:t>
      </w:r>
    </w:p>
    <w:p>
      <w:pPr>
        <w:pStyle w:val="Heading2"/>
      </w:pPr>
      <w:r>
        <w:rPr>
          <w:b/>
        </w:rPr>
      </w:r>
      <w:r>
        <w:rPr>
          <w:rFonts w:ascii="Times New Roman" w:hAnsi="Times New Roman"/>
          <w:b w:val="0"/>
          <w:i w:val="0"/>
        </w:rPr>
        <w:t>Demonstration cases (Figures 4, 5)</w:t>
      </w:r>
    </w:p>
    <w:p>
      <w:r>
        <w:rPr>
          <w:rFonts w:ascii="Times New Roman" w:hAnsi="Times New Roman"/>
          <w:b w:val="0"/>
          <w:i w:val="0"/>
        </w:rPr>
        <w:t>Five synthetic demonstration vignettes (unifocal-lesion biopsy scheme, upfront biopsy after PSMA PET, indeterminate bpMRI lesions, advanced-disease route and prophylaxis, infection-risk escalation) ran end-to-end, each producing the correct five-class action, the expected consensus rules (including patient-factor escalations), and a citation chain traceable to Q-codes and evidence chunks (case reports in Supplementary S3).</w:t>
      </w:r>
    </w:p>
    <w:p>
      <w:pPr>
        <w:pStyle w:val="Heading2"/>
      </w:pPr>
      <w:r>
        <w:rPr>
          <w:b/>
        </w:rPr>
      </w:r>
      <w:r>
        <w:rPr>
          <w:rFonts w:ascii="Times New Roman" w:hAnsi="Times New Roman"/>
          <w:b w:val="0"/>
          <w:i w:val="0"/>
        </w:rPr>
        <w:t>Face validity: four-expert blinded review (Figure 3)</w:t>
      </w:r>
    </w:p>
    <w:p>
      <w:r>
        <w:rPr>
          <w:rFonts w:ascii="Times New Roman" w:hAnsi="Times New Roman"/>
          <w:b w:val="0"/>
          <w:i w:val="0"/>
        </w:rPr>
        <w:t>Experts agreed with each other substantially: raw agreement 17/20 ratings, with per-case modal share 4/4 in three cases, 3/4 in one (case 2), and a 2:2 split in case 1 (Figure 3A). The overall Fleiss κ [47] of −0.09 reflects the known instability of κ under uneven category marginals at this sample size — the agreement paradox described by Feinstein and Cicchetti — rather than poor agreement [48]. The system matched the expert majority in all four cases with a decisive majority (Cohen κ = 1.000, n = 4; Figure 3B). In the split case — whether to add systematic biopsy to targeted plus perilesional biopsy — the two experts favouring conditional endorsement cited treatment-plan dependence (whole-gland versus focal therapy alters the value of added systematic cores), the same consideration the system's evidence chain raises (contralateral systematic yield 0.3–4% [EV0024]). All 80 Likert ratings of the system output were 5/5 (clarity, usefulness, recommendation, evidence; ceiling noted, Figure 3C). At this sample size, all agreement estimates are preliminary.</w:t>
      </w:r>
    </w:p>
    <w:p>
      <w:pPr>
        <w:pStyle w:val="Heading2"/>
      </w:pPr>
      <w:r>
        <w:rPr>
          <w:b/>
        </w:rPr>
      </w:r>
      <w:r>
        <w:rPr>
          <w:rFonts w:ascii="Times New Roman" w:hAnsi="Times New Roman"/>
          <w:b w:val="0"/>
          <w:i w:val="0"/>
        </w:rPr>
        <w:t>Runtime cost</w:t>
      </w:r>
    </w:p>
    <w:p>
      <w:r>
        <w:rPr>
          <w:rFonts w:ascii="Times New Roman" w:hAnsi="Times New Roman"/>
          <w:b w:val="0"/>
          <w:i w:val="0"/>
        </w:rPr>
        <w:t>The full system uses a mean of 7,640 characters of context (~2,500–3,000 tokens). With eight concurrent workers and the flash generator, median end-to-end latency per verdict was ~20–40 s (per-case breakdown: Figure 5A, source data in Supplementary S4). The system supports interactive use (a Streamlit interface with a decision-report module and a free-form RAG question-answering module).</w:t>
      </w:r>
    </w:p>
    <w:p>
      <w:pPr>
        <w:pStyle w:val="Heading1"/>
      </w:pPr>
      <w:r>
        <w:rPr>
          <w:rFonts w:ascii="Times New Roman" w:hAnsi="Times New Roman"/>
          <w:b w:val="0"/>
          <w:i w:val="0"/>
        </w:rPr>
        <w:t>Discussion</w:t>
      </w:r>
    </w:p>
    <w:p>
      <w:pPr>
        <w:pStyle w:val="Heading2"/>
      </w:pPr>
      <w:r>
        <w:rPr>
          <w:b/>
        </w:rPr>
      </w:r>
      <w:r>
        <w:rPr>
          <w:rFonts w:ascii="Times New Roman" w:hAnsi="Times New Roman"/>
          <w:b w:val="0"/>
          <w:i w:val="0"/>
        </w:rPr>
        <w:t>Principal findings</w:t>
      </w:r>
    </w:p>
    <w:p>
      <w:r>
        <w:rPr>
          <w:rFonts w:ascii="Times New Roman" w:hAnsi="Times New Roman"/>
          <w:b w:val="0"/>
          <w:i w:val="0"/>
        </w:rPr>
        <w:t xml:space="preserve">Under a fixed generator, multi-method, multi-seed benchmarking, this study answers a precise question: </w:t>
      </w:r>
      <w:r>
        <w:rPr>
          <w:rFonts w:ascii="Times New Roman" w:hAnsi="Times New Roman"/>
          <w:b/>
          <w:i w:val="0"/>
        </w:rPr>
        <w:t>performance differences in prostate-biopsy decision support come primarily from architecture, not from the model.</w:t>
      </w:r>
      <w:r>
        <w:rPr>
          <w:rFonts w:ascii="Times New Roman" w:hAnsi="Times New Roman"/>
          <w:b w:val="0"/>
          <w:i w:val="0"/>
        </w:rPr>
        <w:t xml:space="preserve"> Three evidence chains converge: (i) the full system reached exact-5 0.805 / κ 0.730, +19.2 points over the strongest baseline; (ii) both RAG baselines nominally "beat" the full system on coarse exact-3 accuracy while collapsing onto three frequent classes — conditional was actively emitted 9 times in 1,120 retrieval-baseline runs (0.8%; pure LLM 14 times in 560) versus 17.0% for the full system; and (iii) upgrading the generator tier made naive RAG </w:t>
      </w:r>
      <w:r>
        <w:rPr>
          <w:rFonts w:ascii="Times New Roman" w:hAnsi="Times New Roman"/>
          <w:b w:val="0"/>
          <w:i/>
        </w:rPr>
        <w:t>worse</w:t>
      </w:r>
      <w:r>
        <w:rPr>
          <w:rFonts w:ascii="Times New Roman" w:hAnsi="Times New Roman"/>
          <w:b w:val="0"/>
          <w:i w:val="0"/>
        </w:rPr>
        <w:t xml:space="preserve"> (exact-5 0.605 → 0.538). Fine-grained clinical action-space competence must be built into the system architecture — rule-derived class priors and hard constraints — and cannot be prompted back in.</w:t>
      </w:r>
    </w:p>
    <w:p>
      <w:pPr>
        <w:pStyle w:val="Heading2"/>
      </w:pPr>
      <w:r>
        <w:rPr>
          <w:b/>
        </w:rPr>
      </w:r>
      <w:r>
        <w:rPr>
          <w:rFonts w:ascii="Times New Roman" w:hAnsi="Times New Roman"/>
          <w:b w:val="0"/>
          <w:i w:val="0"/>
        </w:rPr>
        <w:t>Relation to prior work</w:t>
      </w:r>
    </w:p>
    <w:p>
      <w:r>
        <w:rPr>
          <w:rFonts w:ascii="Times New Roman" w:hAnsi="Times New Roman"/>
          <w:b w:val="0"/>
          <w:i w:val="0"/>
        </w:rPr>
        <w:t xml:space="preserve">Large language models are approaching expert-level medical question answering [31] and have generated patient-facing responses rated as more empathetic than physician responses [49]; for constrained, auditable decision support, however, our results indicate that decision architecture — not model capability — is the dominant lever. Medical RAG benchmarks such as MIRAGE [39] evaluate open-question answering accuracy, typically multiple-choice or free text; we instead map an international consensus' final statements onto five executable actions and evaluate </w:t>
      </w:r>
      <w:r>
        <w:rPr>
          <w:rFonts w:ascii="Times New Roman" w:hAnsi="Times New Roman"/>
          <w:b w:val="0"/>
          <w:i/>
        </w:rPr>
        <w:t>guideline conformance</w:t>
      </w:r>
      <w:r>
        <w:rPr>
          <w:rFonts w:ascii="Times New Roman" w:hAnsi="Times New Roman"/>
          <w:b w:val="0"/>
          <w:i w:val="0"/>
        </w:rPr>
        <w:t>, a property closer to clinical governance needs. Relative to GraphRAG [42] and LightRAG [41], our contribution is system-level: LightRAG remains the evidence engine, but the lightrag-only baseline demonstrates exactly what happens without a rule layer — against over-calling (sensitivity 1.000, specificity 0.922) and conditional silence. Relative to rule-based CDSS [27], our architecture compresses the auditable rule base to 16 consensus rules and delegates long-tail knowledge to graph retrieval, coupling the two via hard constraints rather than parallel voting.</w:t>
      </w:r>
    </w:p>
    <w:p>
      <w:r>
        <w:rPr>
          <w:rFonts w:ascii="Times New Roman" w:hAnsi="Times New Roman"/>
          <w:b w:val="0"/>
          <w:i w:val="0"/>
        </w:rPr>
        <w:t>The closest contemporaries are the domain LLM agents now appearing across medicine. PULSE, an agent for atrial-fibrillation patient self-management [34], and its hypertension analogue [35], demonstrate that retrieval plus prompt optimisation raises Likert-rated response quality across several base models; an EHR-integrated agent personalises prostate-cancer patient education [36]; GeneAgent adds self-verification over domain databases for gene-set analysis [37]. Our results explain why such gains do not automatically transfer to procedural decision support. First, their evaluation endpoint — perceived response quality — does not measure guideline conformance; a fluent and empathetic answer can still misplace a veto. Second, their safeguards are prompt-level: reflection and consistency checks persuade but do not bind, whereas hard-constrained arbitration mechanically forbids non-compliant outputs and is the only configuration that places the two nuance-bearing actions correctly. Third, these agents are patient-facing information tools, whereas QianLieAnHui is a clinician-facing procedural instrument benchmarked against 112 verifiable consensus statements with multi-seed statistics and architecture ablation — an evaluation style closer to diagnostic-test validation than to user-satisfaction scoring.</w:t>
      </w:r>
    </w:p>
    <w:p>
      <w:r>
        <w:rPr>
          <w:rFonts w:ascii="Times New Roman" w:hAnsi="Times New Roman"/>
          <w:b w:val="0"/>
          <w:i w:val="0"/>
        </w:rPr>
        <w:t>The system's decision points sit squarely on the consensus of current guidelines. The EAU recommends mpMRI before biopsy, MRI-targeted sampling, risk-adapted antimicrobial prophylaxis, and transperineal access where available [15]; the AUA/ASTRO guideline and its 2026 Amendment converge on the same action-level recommendations for localized disease [16,17]. The underlying trial evidence is recent and consolidating — randomised evidence on transperineal access [7], an RCT meta-analysis across imaging-targeted and non-targeted settings [8], and targeted prophylaxis studies [9] — which is precisely why the rule base encodes only the stable decision skeleton while the updating periphery lives in retrieval: as trial evidence shifts practice, the retrieval corpus and index can be rebuilt without touching the rule layer, and the SHA-256 version-integrity check makes that coupling explicit. This division of labour also mirrors how the pathway's pain points are actually experienced at the biopsy table: the safety-critical contextual calls (route, prophylaxis, scheme) are enforced mechanically rather than left to prompt compliance; image-quality and reader-variability dependence [19] is carried as explicit scenario flags; grade-discordance-aware treatment planning [10] is anchored by the largest statement domain; and the complication burden that motivates conservatism [24] is reflected in the system's mechanically enforced veto behaviour rather than in optimism.</w:t>
      </w:r>
    </w:p>
    <w:p>
      <w:pPr>
        <w:pStyle w:val="Heading2"/>
      </w:pPr>
      <w:r>
        <w:rPr>
          <w:b/>
        </w:rPr>
      </w:r>
      <w:r>
        <w:rPr>
          <w:rFonts w:ascii="Times New Roman" w:hAnsi="Times New Roman"/>
          <w:b w:val="0"/>
          <w:i w:val="0"/>
        </w:rPr>
        <w:t>Clinical implications</w:t>
      </w:r>
    </w:p>
    <w:p>
      <w:r>
        <w:rPr>
          <w:rFonts w:ascii="Times New Roman" w:hAnsi="Times New Roman"/>
          <w:b w:val="0"/>
          <w:i w:val="0"/>
        </w:rPr>
        <w:t xml:space="preserve">The system is not designed to replace clinician judgement; its value is governability: (1) </w:t>
      </w:r>
      <w:r>
        <w:rPr>
          <w:rFonts w:ascii="Times New Roman" w:hAnsi="Times New Roman"/>
          <w:b/>
          <w:i w:val="0"/>
        </w:rPr>
        <w:t>safe vetoing</w:t>
      </w:r>
      <w:r>
        <w:rPr>
          <w:rFonts w:ascii="Times New Roman" w:hAnsi="Times New Roman"/>
          <w:b w:val="0"/>
          <w:i w:val="0"/>
        </w:rPr>
        <w:t xml:space="preserve"> — against-F1 0.908 with specificity 0.986 means the system "dares to dissent but rarely over-dissents", a behaviour mechanically enforced by requiring rule or evidence support for any veto; (2) </w:t>
      </w:r>
      <w:r>
        <w:rPr>
          <w:rFonts w:ascii="Times New Roman" w:hAnsi="Times New Roman"/>
          <w:b/>
          <w:i w:val="0"/>
        </w:rPr>
        <w:t>full traceability</w:t>
      </w:r>
      <w:r>
        <w:rPr>
          <w:rFonts w:ascii="Times New Roman" w:hAnsi="Times New Roman"/>
          <w:b w:val="0"/>
          <w:i w:val="0"/>
        </w:rPr>
        <w:t xml:space="preserve"> — every output carries Q-codes, triggered rules, and evidence-chunk citations, enabling governance audits that pure-LLM pipelines cannot provide; (3) </w:t>
      </w:r>
      <w:r>
        <w:rPr>
          <w:rFonts w:ascii="Times New Roman" w:hAnsi="Times New Roman"/>
          <w:b/>
          <w:i w:val="0"/>
        </w:rPr>
        <w:t>version integrity</w:t>
      </w:r>
      <w:r>
        <w:rPr>
          <w:rFonts w:ascii="Times New Roman" w:hAnsi="Times New Roman"/>
          <w:b w:val="0"/>
          <w:i w:val="0"/>
        </w:rPr>
        <w:t xml:space="preserve"> — the rule-file SHA-256 recorded at index build and verified live by the UI prevents the classic CDSS failure mode of a silently stale knowledge base [25].</w:t>
      </w:r>
    </w:p>
    <w:p>
      <w:pPr>
        <w:pStyle w:val="Heading2"/>
      </w:pPr>
      <w:r>
        <w:rPr>
          <w:b/>
        </w:rPr>
      </w:r>
      <w:r>
        <w:rPr>
          <w:rFonts w:ascii="Times New Roman" w:hAnsi="Times New Roman"/>
          <w:b w:val="0"/>
          <w:i w:val="0"/>
        </w:rPr>
        <w:t>Limitations</w:t>
      </w:r>
    </w:p>
    <w:p>
      <w:r>
        <w:rPr>
          <w:rFonts w:ascii="Times New Roman" w:hAnsi="Times New Roman"/>
          <w:b w:val="0"/>
          <w:i w:val="0"/>
        </w:rPr>
        <w:t xml:space="preserve">First, </w:t>
      </w:r>
      <w:r>
        <w:rPr>
          <w:rFonts w:ascii="Times New Roman" w:hAnsi="Times New Roman"/>
          <w:b/>
          <w:i w:val="0"/>
        </w:rPr>
        <w:t>corpus–gold-standard homology</w:t>
      </w:r>
      <w:r>
        <w:rPr>
          <w:rFonts w:ascii="Times New Roman" w:hAnsi="Times New Roman"/>
          <w:b w:val="0"/>
          <w:i w:val="0"/>
        </w:rPr>
        <w:t xml:space="preserve">: corpus and gold standard both derive from the ProBIOPSY consensus, so this is a </w:t>
      </w:r>
      <w:r>
        <w:rPr>
          <w:rFonts w:ascii="Times New Roman" w:hAnsi="Times New Roman"/>
          <w:b w:val="0"/>
          <w:i/>
        </w:rPr>
        <w:t>consensus-conformance</w:t>
      </w:r>
      <w:r>
        <w:rPr>
          <w:rFonts w:ascii="Times New Roman" w:hAnsi="Times New Roman"/>
          <w:b w:val="0"/>
          <w:i w:val="0"/>
        </w:rPr>
        <w:t xml:space="preserve"> evaluation rather than independent clinical validity; EAU and AUA/ASTRO recommendations enter the system only through the rule layer's cross-check — their text is deliberately absent from the retrieval corpus (see Methods) — so guideline concordance at </w:t>
      </w:r>
      <w:r>
        <w:rPr>
          <w:rFonts w:ascii="Times New Roman" w:hAnsi="Times New Roman"/>
          <w:b w:val="0"/>
          <w:i/>
        </w:rPr>
        <w:t>retrieval</w:t>
      </w:r>
      <w:r>
        <w:rPr>
          <w:rFonts w:ascii="Times New Roman" w:hAnsi="Times New Roman"/>
          <w:b w:val="0"/>
          <w:i w:val="0"/>
        </w:rPr>
        <w:t xml:space="preserve"> level is untested; the system never saw action labels during development and the rule base covers only 16 topics, but exposure to statement text cannot be excluded, and prospective external validation is the necessary next step. Second, </w:t>
      </w:r>
      <w:r>
        <w:rPr>
          <w:rFonts w:ascii="Times New Roman" w:hAnsi="Times New Roman"/>
          <w:b/>
          <w:i w:val="0"/>
        </w:rPr>
        <w:t>the residual conditional weakness</w:t>
      </w:r>
      <w:r>
        <w:rPr>
          <w:rFonts w:ascii="Times New Roman" w:hAnsi="Times New Roman"/>
          <w:b w:val="0"/>
          <w:i w:val="0"/>
        </w:rPr>
        <w:t xml:space="preserve">: conditional recall is 0.51 with an over-permissive error skew (74/185 gold-conditional statements predicted endorse); deployed without the rule layer's hard constraints, such errors would shift towards false endorsement, so class-specific calibration is required before clinical piloting. Third, </w:t>
      </w:r>
      <w:r>
        <w:rPr>
          <w:rFonts w:ascii="Times New Roman" w:hAnsi="Times New Roman"/>
          <w:b/>
          <w:i w:val="0"/>
        </w:rPr>
        <w:t>the face-validity panel is small</w:t>
      </w:r>
      <w:r>
        <w:rPr>
          <w:rFonts w:ascii="Times New Roman" w:hAnsi="Times New Roman"/>
          <w:b w:val="0"/>
          <w:i w:val="0"/>
        </w:rPr>
        <w:t xml:space="preserve">: four experts rated five composite propositions; agreement statistics at this n are unstable (a negative Fleiss κ despite 17/20 raw agreement illustrates the artefact [48]), all Likert ratings hit the ceiling, and the panel was single-institution — the review therefore supports preliminary face validity only. Fourth, </w:t>
      </w:r>
      <w:r>
        <w:rPr>
          <w:rFonts w:ascii="Times New Roman" w:hAnsi="Times New Roman"/>
          <w:b/>
          <w:i w:val="0"/>
        </w:rPr>
        <w:t>synthetic scenarios</w:t>
      </w:r>
      <w:r>
        <w:rPr>
          <w:rFonts w:ascii="Times New Roman" w:hAnsi="Times New Roman"/>
          <w:b w:val="0"/>
          <w:i w:val="0"/>
        </w:rPr>
        <w:t xml:space="preserve">: the 51 scenario archetypes and five demonstration cases are synthetic and do not span the full comorbidity complexity of real patients. Fifth, </w:t>
      </w:r>
      <w:r>
        <w:rPr>
          <w:rFonts w:ascii="Times New Roman" w:hAnsi="Times New Roman"/>
          <w:b/>
          <w:i w:val="0"/>
        </w:rPr>
        <w:t>single generator family</w:t>
      </w:r>
      <w:r>
        <w:rPr>
          <w:rFonts w:ascii="Times New Roman" w:hAnsi="Times New Roman"/>
          <w:b w:val="0"/>
          <w:i w:val="0"/>
        </w:rPr>
        <w:t xml:space="preserve">: the benchmark used the GLM family (flash and flagship tiers); cross-vendor generalisation is untested, although the supplement shows generator tier is not the decisive factor. Sixth, </w:t>
      </w:r>
      <w:r>
        <w:rPr>
          <w:rFonts w:ascii="Times New Roman" w:hAnsi="Times New Roman"/>
          <w:b/>
          <w:i w:val="0"/>
        </w:rPr>
        <w:t>combinatorial coverage</w:t>
      </w:r>
      <w:r>
        <w:rPr>
          <w:rFonts w:ascii="Times New Roman" w:hAnsi="Times New Roman"/>
          <w:b w:val="0"/>
          <w:i w:val="0"/>
        </w:rPr>
        <w:t xml:space="preserve">: 112 statements cover the high-frequency region of the 51 × 54 interaction space; long-tail coverage is unquantified. Seventh, </w:t>
      </w:r>
      <w:r>
        <w:rPr>
          <w:rFonts w:ascii="Times New Roman" w:hAnsi="Times New Roman"/>
          <w:b/>
          <w:i w:val="0"/>
        </w:rPr>
        <w:t>context cost</w:t>
      </w:r>
      <w:r>
        <w:rPr>
          <w:rFonts w:ascii="Times New Roman" w:hAnsi="Times New Roman"/>
          <w:b w:val="0"/>
          <w:i w:val="0"/>
        </w:rPr>
        <w:t xml:space="preserve">: the full system's 7,640-character mean context is ~3× the strongest baseline, traded for +19.2 points exact-5; rule-gated short-circuiting (pure-rule combinations skip graph retrieval) can amortise this further. Eighth, </w:t>
      </w:r>
      <w:r>
        <w:rPr>
          <w:rFonts w:ascii="Times New Roman" w:hAnsi="Times New Roman"/>
          <w:b/>
          <w:i w:val="0"/>
        </w:rPr>
        <w:t>language and region</w:t>
      </w:r>
      <w:r>
        <w:rPr>
          <w:rFonts w:ascii="Times New Roman" w:hAnsi="Times New Roman"/>
          <w:b w:val="0"/>
          <w:i w:val="0"/>
        </w:rPr>
        <w:t>: the corpus is English, the scenario registry and UI Chinese; cross-lingual transfer is untested.</w:t>
      </w:r>
    </w:p>
    <w:p>
      <w:pPr>
        <w:pStyle w:val="Heading2"/>
      </w:pPr>
      <w:r>
        <w:rPr>
          <w:b/>
        </w:rPr>
      </w:r>
      <w:r>
        <w:rPr>
          <w:rFonts w:ascii="Times New Roman" w:hAnsi="Times New Roman"/>
          <w:b w:val="0"/>
          <w:i w:val="0"/>
        </w:rPr>
        <w:t>Future work</w:t>
      </w:r>
    </w:p>
    <w:p>
      <w:r>
        <w:rPr>
          <w:rFonts w:ascii="Times New Roman" w:hAnsi="Times New Roman"/>
          <w:b w:val="0"/>
          <w:i w:val="0"/>
        </w:rPr>
        <w:t>(i) extending the expert panel to a multi-centre face-validity and usability study, including treatment-intent-conditioned scenarios of the kind flagged by the reviewers in the split case; (ii) a prospective registry study with real cases, reported under emerging AI-evaluation standards [50,51]; (iii) extending the rule base to other guideline chapters (active surveillance, imaging follow-up) and emerging PSMA-PET–first pathways [52] to test architecture portability; (iv) FHIR integration for automatic scenario filling from the EMR; (v) on-premises generator deployment to eliminate PHI-transfer concerns.</w:t>
      </w:r>
    </w:p>
    <w:p>
      <w:pPr>
        <w:pStyle w:val="Heading2"/>
      </w:pPr>
      <w:r>
        <w:rPr>
          <w:b/>
        </w:rPr>
      </w:r>
      <w:r>
        <w:rPr>
          <w:rFonts w:ascii="Times New Roman" w:hAnsi="Times New Roman"/>
          <w:b w:val="0"/>
          <w:i w:val="0"/>
        </w:rPr>
        <w:t>Conclusions</w:t>
      </w:r>
    </w:p>
    <w:p>
      <w:r>
        <w:rPr>
          <w:rFonts w:ascii="Times New Roman" w:hAnsi="Times New Roman"/>
          <w:b w:val="0"/>
          <w:i w:val="0"/>
        </w:rPr>
        <w:t>QianLieAnHui demonstrates that chaining deterministic rule hard constraints, knowledge-graph evidence retrieval, and LLM arbitration — each layer covering the others' failure modes — raises fine-grained clinical decision accuracy to a level suitable for pilot clinical evaluation (exact-5 0.805, κ 0.730, against-F1 0.908) against an international consensus gold standard, with every output traceable to numbered statements and evidence chunks. Architecture, not a larger model, is currently the dominant lever for medical decision support.</w:t>
      </w:r>
    </w:p>
    <w:p>
      <w:pPr>
        <w:pStyle w:val="Heading1"/>
      </w:pPr>
      <w:r>
        <w:rPr>
          <w:rFonts w:ascii="Times New Roman" w:hAnsi="Times New Roman"/>
          <w:b w:val="0"/>
          <w:i w:val="0"/>
        </w:rPr>
        <w:t>Data availability</w:t>
      </w:r>
    </w:p>
    <w:p>
      <w:r>
        <w:rPr>
          <w:rFonts w:ascii="Times New Roman" w:hAnsi="Times New Roman"/>
          <w:b w:val="0"/>
          <w:i w:val="0"/>
        </w:rPr>
        <w:t>The rule base (configs/rules.yaml), both registries (entities_a.csv, entities_b.csv), the evidence corpus (evidence_chunks.jsonl, 357 chunks), the gold-standard annotations (probiopsy_statements.csv, 112 statements), all 2,240 raw predictions with per-run context sizes and retrieved-chunk counts (baseline_predictions.jsonl), the flagship-tier supplement (baseline_predictions_glm53.jsonl), the evaluation script (evaluate.py), and all figure source data are released with the repository (https://github.com/xuzekun6251/probiopsy-rag) and archived on Zenodo [53].</w:t>
      </w:r>
    </w:p>
    <w:p>
      <w:pPr>
        <w:pStyle w:val="Heading1"/>
      </w:pPr>
      <w:r>
        <w:rPr>
          <w:rFonts w:ascii="Times New Roman" w:hAnsi="Times New Roman"/>
          <w:b w:val="0"/>
          <w:i w:val="0"/>
        </w:rPr>
        <w:t>Ethics statement</w:t>
      </w:r>
    </w:p>
    <w:p>
      <w:r>
        <w:rPr>
          <w:rFonts w:ascii="Times New Roman" w:hAnsi="Times New Roman"/>
          <w:b w:val="0"/>
          <w:i w:val="0"/>
        </w:rPr>
        <w:t>No patient data or biological samples were involved. The evidence corpus and gold standard derive solely from the published ProBIOPSY consensus and its supplementary material; all demonstration cases are synthetic vignettes constructed by the study team. No patient-identifiable data were transmitted to third-party model APIs. The four-expert blinded review used anonymous, voluntary participation (experts 1–4; no identifiable data collected; participation-information sheet embedded in the questionnaire). Institutional review board approval was therefore not required; the assessment is documented in the project ethics file accompanying the repository.</w:t>
      </w:r>
    </w:p>
    <w:p>
      <w:pPr>
        <w:pStyle w:val="Heading1"/>
      </w:pPr>
      <w:r>
        <w:rPr>
          <w:rFonts w:ascii="Times New Roman" w:hAnsi="Times New Roman"/>
          <w:b w:val="0"/>
          <w:i w:val="0"/>
        </w:rPr>
        <w:t>Figure legends</w:t>
      </w:r>
    </w:p>
    <w:p>
      <w:r>
        <w:rPr>
          <w:rFonts w:ascii="Times New Roman" w:hAnsi="Times New Roman"/>
          <w:b/>
          <w:i w:val="0"/>
        </w:rPr>
        <w:t>Figure 1.</w:t>
      </w:r>
      <w:r>
        <w:rPr>
          <w:rFonts w:ascii="Times New Roman" w:hAnsi="Times New Roman"/>
          <w:b w:val="0"/>
          <w:i w:val="0"/>
        </w:rPr>
        <w:t xml:space="preserve"> System architecture and benchmark design. The ProBIOPSY consensus corpus (112 final statements; 357 evidence chunks; LightRAG index of 1,864 entities and 3,078 relations) is distilled at build time into 16 deterministic rules and the retrieval index. At run time, a patient-scenario × decision-item query passes through (1) the deterministic rule engine, which emits Q-coded hard constraints (dashed arrow binding the arbiter), (2) risk-guided retrieval over the LightRAG knowledge graph fused with the lexical evidence store, and (3) an LLM arbiter (GLM-5.3) that produces a five-class action verdict with statement-level citations under hard-constrained decoding. An example query (unifocal PI-RADS 4 lesion, focal therapy planned) and the corresponding structured output are shown. Bottom strip: the multi-method, multi-seed benchmark (112 statements × 4 methods × 5 seeds = 2,240 runs, generator held fixed).</w:t>
      </w:r>
    </w:p>
    <w:p>
      <w:pPr>
        <w:jc w:val="center"/>
      </w:pPr>
      <w:r>
        <w:drawing>
          <wp:inline xmlns:a="http://schemas.openxmlformats.org/drawingml/2006/main" xmlns:pic="http://schemas.openxmlformats.org/drawingml/2006/picture">
            <wp:extent cx="5760000" cy="3586415"/>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5760000" cy="3586415"/>
                    </a:xfrm>
                    <a:prstGeom prst="rect"/>
                  </pic:spPr>
                </pic:pic>
              </a:graphicData>
            </a:graphic>
          </wp:inline>
        </w:drawing>
      </w:r>
    </w:p>
    <w:p>
      <w:r>
        <w:rPr>
          <w:rFonts w:ascii="Times New Roman" w:hAnsi="Times New Roman"/>
          <w:b/>
          <w:i w:val="0"/>
        </w:rPr>
        <w:t>Figure 2.</w:t>
      </w:r>
      <w:r>
        <w:rPr>
          <w:rFonts w:ascii="Times New Roman" w:hAnsi="Times New Roman"/>
          <w:b w:val="0"/>
          <w:i w:val="0"/>
        </w:rPr>
        <w:t xml:space="preserve"> Multi-seed benchmark (4 methods × 5 seeds × 112 statements). </w:t>
      </w:r>
      <w:r>
        <w:rPr>
          <w:rFonts w:ascii="Times New Roman" w:hAnsi="Times New Roman"/>
          <w:b/>
          <w:i w:val="0"/>
        </w:rPr>
        <w:t>(a)</w:t>
      </w:r>
      <w:r>
        <w:rPr>
          <w:rFonts w:ascii="Times New Roman" w:hAnsi="Times New Roman"/>
          <w:b w:val="0"/>
          <w:i w:val="0"/>
        </w:rPr>
        <w:t xml:space="preserve"> Core metrics by method (mean ± SD across 5 seeds): exact-5 accuracy, exact-3 accuracy, macro-F1, Cohen's κ, and against-class F1. </w:t>
      </w:r>
      <w:r>
        <w:rPr>
          <w:rFonts w:ascii="Times New Roman" w:hAnsi="Times New Roman"/>
          <w:b/>
          <w:i w:val="0"/>
        </w:rPr>
        <w:t>(b)</w:t>
      </w:r>
      <w:r>
        <w:rPr>
          <w:rFonts w:ascii="Times New Roman" w:hAnsi="Times New Roman"/>
          <w:b w:val="0"/>
          <w:i w:val="0"/>
        </w:rPr>
        <w:t xml:space="preserve"> Exact-5 accuracy per seed (dots; dash = mean). </w:t>
      </w:r>
      <w:r>
        <w:rPr>
          <w:rFonts w:ascii="Times New Roman" w:hAnsi="Times New Roman"/>
          <w:b/>
          <w:i w:val="0"/>
        </w:rPr>
        <w:t>(c)</w:t>
      </w:r>
      <w:r>
        <w:rPr>
          <w:rFonts w:ascii="Times New Roman" w:hAnsi="Times New Roman"/>
          <w:b w:val="0"/>
          <w:i w:val="0"/>
        </w:rPr>
        <w:t xml:space="preserve"> Predicted class distribution per method over 560 runs (bars) with the gold-standard distribution (diamonds) — retrieval baselines almost never emit conditional; the full system's distribution tracks the gold standard most closely.</w:t>
      </w:r>
    </w:p>
    <w:p>
      <w:pPr>
        <w:jc w:val="center"/>
      </w:pPr>
      <w:r>
        <w:drawing>
          <wp:inline xmlns:a="http://schemas.openxmlformats.org/drawingml/2006/main" xmlns:pic="http://schemas.openxmlformats.org/drawingml/2006/picture">
            <wp:extent cx="5760000" cy="2176671"/>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5760000" cy="2176671"/>
                    </a:xfrm>
                    <a:prstGeom prst="rect"/>
                  </pic:spPr>
                </pic:pic>
              </a:graphicData>
            </a:graphic>
          </wp:inline>
        </w:drawing>
      </w:r>
    </w:p>
    <w:p>
      <w:r>
        <w:rPr>
          <w:rFonts w:ascii="Times New Roman" w:hAnsi="Times New Roman"/>
          <w:b/>
          <w:i w:val="0"/>
        </w:rPr>
        <w:t>Figure 3.</w:t>
      </w:r>
      <w:r>
        <w:rPr>
          <w:rFonts w:ascii="Times New Roman" w:hAnsi="Times New Roman"/>
          <w:b w:val="0"/>
          <w:i w:val="0"/>
        </w:rPr>
        <w:t xml:space="preserve"> Four-expert blinded review of the five demonstration cases (composite propositions). </w:t>
      </w:r>
      <w:r>
        <w:rPr>
          <w:rFonts w:ascii="Times New Roman" w:hAnsi="Times New Roman"/>
          <w:b/>
          <w:i w:val="0"/>
        </w:rPr>
        <w:t>(a)</w:t>
      </w:r>
      <w:r>
        <w:rPr>
          <w:rFonts w:ascii="Times New Roman" w:hAnsi="Times New Roman"/>
          <w:b w:val="0"/>
          <w:i w:val="0"/>
        </w:rPr>
        <w:t xml:space="preserve"> Per-case inter-rater agreement (modal-rating share of 4 experts; dashed line = 3/4). The Fleiss κ of −0.09 (marked </w:t>
      </w:r>
      <w:r>
        <w:rPr>
          <w:rFonts w:ascii="Times New Roman" w:hAnsi="Times New Roman"/>
          <w:b w:val="0"/>
          <w:i/>
        </w:rPr>
        <w:t xml:space="preserve">) is a small-sample artefact — raw agreement is 17/20. </w:t>
      </w:r>
      <w:r>
        <w:rPr>
          <w:rFonts w:ascii="Times New Roman" w:hAnsi="Times New Roman"/>
          <w:b w:val="0"/>
          <w:i/>
        </w:rPr>
        <w:t>(b)</w:t>
      </w:r>
      <w:r>
        <w:rPr>
          <w:rFonts w:ascii="Times New Roman" w:hAnsi="Times New Roman"/>
          <w:b w:val="0"/>
          <w:i/>
        </w:rPr>
        <w:t xml:space="preserve"> Ratings by case and rater (End = endorse, EndO = endorse_option, Cond = conditional, RepO = report_option, Aga = against). The System column shows the system verdict, which matches the expert majority in all four cases with a decisive majority; case 1 was a 2:2 tie (excluded per the pre-registered rule). </w:t>
      </w:r>
      <w:r>
        <w:rPr>
          <w:rFonts w:ascii="Times New Roman" w:hAnsi="Times New Roman"/>
          <w:b w:val="0"/>
          <w:i/>
        </w:rPr>
        <w:t>(c)</w:t>
      </w:r>
      <w:r>
        <w:rPr>
          <w:rFonts w:ascii="Times New Roman" w:hAnsi="Times New Roman"/>
          <w:b w:val="0"/>
          <w:i/>
        </w:rPr>
        <w:t xml:space="preserve"> Expert Likert ratings of the system output (clarity, usefulness, recommendation, evidence; uniformly 5 — ceiling)</w:t>
      </w:r>
    </w:p>
    <w:p>
      <w:pPr>
        <w:jc w:val="center"/>
      </w:pPr>
      <w:r>
        <w:drawing>
          <wp:inline xmlns:a="http://schemas.openxmlformats.org/drawingml/2006/main" xmlns:pic="http://schemas.openxmlformats.org/drawingml/2006/picture">
            <wp:extent cx="5760000" cy="1953699"/>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5760000" cy="1953699"/>
                    </a:xfrm>
                    <a:prstGeom prst="rect"/>
                  </pic:spPr>
                </pic:pic>
              </a:graphicData>
            </a:graphic>
          </wp:inline>
        </w:drawing>
      </w:r>
    </w:p>
    <w:p>
      <w:r>
        <w:rPr>
          <w:rFonts w:ascii="Times New Roman" w:hAnsi="Times New Roman"/>
          <w:b/>
          <w:i w:val="0"/>
        </w:rPr>
        <w:t>Figure 4.</w:t>
      </w:r>
      <w:r>
        <w:rPr>
          <w:rFonts w:ascii="Times New Roman" w:hAnsi="Times New Roman"/>
          <w:b w:val="0"/>
          <w:i w:val="0"/>
        </w:rPr>
        <w:t xml:space="preserve"> Demonstration cases. </w:t>
      </w:r>
      <w:r>
        <w:rPr>
          <w:rFonts w:ascii="Times New Roman" w:hAnsi="Times New Roman"/>
          <w:b/>
          <w:i w:val="0"/>
        </w:rPr>
        <w:t>(a)</w:t>
      </w:r>
      <w:r>
        <w:rPr>
          <w:rFonts w:ascii="Times New Roman" w:hAnsi="Times New Roman"/>
          <w:b w:val="0"/>
          <w:i w:val="0"/>
        </w:rPr>
        <w:t xml:space="preserve"> Consensus rules fired per case, coloured by recommended action. </w:t>
      </w:r>
      <w:r>
        <w:rPr>
          <w:rFonts w:ascii="Times New Roman" w:hAnsi="Times New Roman"/>
          <w:b/>
          <w:i w:val="0"/>
        </w:rPr>
        <w:t>(b)</w:t>
      </w:r>
      <w:r>
        <w:rPr>
          <w:rFonts w:ascii="Times New Roman" w:hAnsi="Times New Roman"/>
          <w:b w:val="0"/>
          <w:i w:val="0"/>
        </w:rPr>
        <w:t xml:space="preserve"> Evidence corpus composition (112 consensus statements, 218 literature entries, 20 narrative passages, 7 systematic-review summaries).</w:t>
      </w:r>
    </w:p>
    <w:p>
      <w:pPr>
        <w:jc w:val="center"/>
      </w:pPr>
      <w:r>
        <w:drawing>
          <wp:inline xmlns:a="http://schemas.openxmlformats.org/drawingml/2006/main" xmlns:pic="http://schemas.openxmlformats.org/drawingml/2006/picture">
            <wp:extent cx="5760000" cy="2137143"/>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5760000" cy="2137143"/>
                    </a:xfrm>
                    <a:prstGeom prst="rect"/>
                  </pic:spPr>
                </pic:pic>
              </a:graphicData>
            </a:graphic>
          </wp:inline>
        </w:drawing>
      </w:r>
    </w:p>
    <w:p>
      <w:r>
        <w:rPr>
          <w:rFonts w:ascii="Times New Roman" w:hAnsi="Times New Roman"/>
          <w:b/>
          <w:i w:val="0"/>
        </w:rPr>
        <w:t>Figure 5.</w:t>
      </w:r>
      <w:r>
        <w:rPr>
          <w:rFonts w:ascii="Times New Roman" w:hAnsi="Times New Roman"/>
          <w:b w:val="0"/>
          <w:i w:val="0"/>
        </w:rPr>
        <w:t xml:space="preserve"> Runtime and knowledge-graph statistics. </w:t>
      </w:r>
      <w:r>
        <w:rPr>
          <w:rFonts w:ascii="Times New Roman" w:hAnsi="Times New Roman"/>
          <w:b/>
          <w:i w:val="0"/>
        </w:rPr>
        <w:t>(a)</w:t>
      </w:r>
      <w:r>
        <w:rPr>
          <w:rFonts w:ascii="Times New Roman" w:hAnsi="Times New Roman"/>
          <w:b w:val="0"/>
          <w:i w:val="0"/>
        </w:rPr>
        <w:t xml:space="preserve"> End-to-end latency per demonstration case (log scale), split into the rule-engine layer (red) and the remaining pipeline (grey). </w:t>
      </w:r>
      <w:r>
        <w:rPr>
          <w:rFonts w:ascii="Times New Roman" w:hAnsi="Times New Roman"/>
          <w:b/>
          <w:i w:val="0"/>
        </w:rPr>
        <w:t>(b)</w:t>
      </w:r>
      <w:r>
        <w:rPr>
          <w:rFonts w:ascii="Times New Roman" w:hAnsi="Times New Roman"/>
          <w:b w:val="0"/>
          <w:i w:val="0"/>
        </w:rPr>
        <w:t xml:space="preserve"> Top-12 knowledge-graph edge weights by relation type.</w:t>
      </w:r>
    </w:p>
    <w:p>
      <w:pPr>
        <w:jc w:val="center"/>
      </w:pPr>
      <w:r>
        <w:drawing>
          <wp:inline xmlns:a="http://schemas.openxmlformats.org/drawingml/2006/main" xmlns:pic="http://schemas.openxmlformats.org/drawingml/2006/picture">
            <wp:extent cx="5760000" cy="2094056"/>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5760000" cy="2094056"/>
                    </a:xfrm>
                    <a:prstGeom prst="rect"/>
                  </pic:spPr>
                </pic:pic>
              </a:graphicData>
            </a:graphic>
          </wp:inline>
        </w:drawing>
      </w:r>
    </w:p>
    <w:p>
      <w:pPr>
        <w:pStyle w:val="Heading1"/>
      </w:pPr>
      <w:r>
        <w:rPr>
          <w:rFonts w:ascii="Times New Roman" w:hAnsi="Times New Roman"/>
          <w:b w:val="0"/>
          <w:i w:val="0"/>
        </w:rPr>
        <w:t>Acknowledgments</w:t>
      </w:r>
    </w:p>
    <w:p>
      <w:r>
        <w:rPr>
          <w:rFonts w:ascii="Times New Roman" w:hAnsi="Times New Roman"/>
          <w:b w:val="0"/>
          <w:i w:val="0"/>
        </w:rPr>
        <w:t>The author gratefully thanks the four urology experts who participated in the blinded face-validity review (anonymous by design of the study), and the ProBIOPSY consensus group whose statement-level work made an executable, statement-by-statement validation possible.</w:t>
      </w:r>
    </w:p>
    <w:p>
      <w:pPr>
        <w:pStyle w:val="Heading1"/>
      </w:pPr>
      <w:r>
        <w:rPr>
          <w:rFonts w:ascii="Times New Roman" w:hAnsi="Times New Roman"/>
          <w:b w:val="0"/>
          <w:i w:val="0"/>
        </w:rPr>
        <w:t>Funding</w:t>
      </w:r>
    </w:p>
    <w:p>
      <w:r>
        <w:rPr>
          <w:rFonts w:ascii="Times New Roman" w:hAnsi="Times New Roman"/>
          <w:b w:val="0"/>
          <w:i w:val="0"/>
        </w:rPr>
        <w:t>This research received no external funding</w:t>
      </w:r>
    </w:p>
    <w:p>
      <w:pPr>
        <w:pStyle w:val="Heading1"/>
      </w:pPr>
      <w:r>
        <w:rPr>
          <w:rFonts w:ascii="Times New Roman" w:hAnsi="Times New Roman"/>
          <w:b w:val="0"/>
          <w:i w:val="0"/>
        </w:rPr>
        <w:t>Conflicts of interest</w:t>
      </w:r>
    </w:p>
    <w:p>
      <w:r>
        <w:rPr>
          <w:rFonts w:ascii="Times New Roman" w:hAnsi="Times New Roman"/>
          <w:b w:val="0"/>
          <w:i w:val="0"/>
        </w:rPr>
        <w:t>The authors declare no conflicts of interest.</w:t>
      </w:r>
    </w:p>
    <w:p>
      <w:pPr>
        <w:pStyle w:val="Heading1"/>
      </w:pPr>
      <w:r>
        <w:rPr>
          <w:rFonts w:ascii="Times New Roman" w:hAnsi="Times New Roman"/>
          <w:b w:val="0"/>
          <w:i w:val="0"/>
        </w:rPr>
        <w:t>CRediT author contributions</w:t>
      </w:r>
    </w:p>
    <w:p>
      <w:r>
        <w:rPr>
          <w:rFonts w:ascii="Times New Roman" w:hAnsi="Times New Roman"/>
          <w:b w:val="0"/>
          <w:i w:val="0"/>
        </w:rPr>
        <w:t>XU Zekun: Conceptualization, Methodology, Software, Validation, Writing – original draft.</w:t>
      </w:r>
    </w:p>
    <w:p>
      <w:pPr>
        <w:pStyle w:val="Heading1"/>
      </w:pPr>
      <w:r>
        <w:rPr>
          <w:rFonts w:ascii="Times New Roman" w:hAnsi="Times New Roman"/>
          <w:b w:val="0"/>
          <w:i w:val="0"/>
        </w:rPr>
        <w:t>Declaration of generative AI and AI-assisted technologies in the writing process</w:t>
      </w:r>
    </w:p>
    <w:p>
      <w:r>
        <w:rPr>
          <w:rFonts w:ascii="Times New Roman" w:hAnsi="Times New Roman"/>
          <w:b w:val="0"/>
          <w:i w:val="0"/>
        </w:rPr>
        <w:t>During the preparation of this work the author used large language model tools (GLM; Zhipu AI) in order to assist with software implementation, corpus curation support, and manuscript drafting. After using these tools, the author reviewed and edited all content as needed and takes full responsibility for the content of the published article. The evaluated system itself — including all reported benchmark results — additionally uses LLM components as an object of study, as described in Methods; all quantitative results were produced and verified by deterministic evaluation scripts.</w:t>
      </w:r>
    </w:p>
    <w:p>
      <w:pPr>
        <w:pStyle w:val="Heading1"/>
      </w:pPr>
      <w:r>
        <w:rPr>
          <w:rFonts w:ascii="Times New Roman" w:hAnsi="Times New Roman"/>
          <w:b w:val="0"/>
          <w:i w:val="0"/>
        </w:rPr>
        <w:t>References</w:t>
      </w:r>
    </w:p>
    <w:p>
      <w:pPr>
        <w:ind w:left="425" w:hanging="425"/>
      </w:pPr>
      <w:r>
        <w:rPr>
          <w:rFonts w:ascii="Times New Roman" w:hAnsi="Times New Roman"/>
          <w:b w:val="0"/>
          <w:i w:val="0"/>
        </w:rPr>
        <w:t>1. Bray F, Laversanne M, Sung H, et al. Global cancer statistics 2022: GLOBOCAN estimates of incidence and mortality worldwide for 36 cancers in 185 countries. CA A Cancer J Clinicians. 2024;74(3):229-263. https://doi.org/10.3322/caac.21834</w:t>
      </w:r>
    </w:p>
    <w:p>
      <w:pPr>
        <w:ind w:left="425" w:hanging="425"/>
      </w:pPr>
      <w:r>
        <w:rPr>
          <w:rFonts w:ascii="Times New Roman" w:hAnsi="Times New Roman"/>
          <w:b w:val="0"/>
          <w:i w:val="0"/>
        </w:rPr>
        <w:t>2. Cao W, Chen HD, Yu YW, Li N, Chen WQ. Changing profiles of cancer burden worldwide and in China: a secondary analysis of the global cancer statistics 2020. Chinese Medical Journal. 2021;134(7):783-791. https://doi.org/10.1097/cm9.0000000000001474</w:t>
      </w:r>
    </w:p>
    <w:p>
      <w:pPr>
        <w:ind w:left="425" w:hanging="425"/>
      </w:pPr>
      <w:r>
        <w:rPr>
          <w:rFonts w:ascii="Times New Roman" w:hAnsi="Times New Roman"/>
          <w:b w:val="0"/>
          <w:i w:val="0"/>
        </w:rPr>
        <w:t>3. Schröder FH, Hugosson J, Roobol MJ, et al. Prostate-Cancer Mortality at 11 Years of Follow-up. N Engl J Med. 2012;366(11):981-990. https://doi.org/10.1056/nejmoa1113135</w:t>
      </w:r>
    </w:p>
    <w:p>
      <w:pPr>
        <w:ind w:left="425" w:hanging="425"/>
      </w:pPr>
      <w:r>
        <w:rPr>
          <w:rFonts w:ascii="Times New Roman" w:hAnsi="Times New Roman"/>
          <w:b w:val="0"/>
          <w:i w:val="0"/>
        </w:rPr>
        <w:t>4. Chernysheva D, Di Bello F, Avesani G, et al. ProBIOPSY: A Multidisciplinary International Consensus on Standards for Prostate Biopsy. European Urology. 2026;90(3):212-224. https://doi.org/10.1016/j.eururo.2026.06.012</w:t>
      </w:r>
    </w:p>
    <w:p>
      <w:pPr>
        <w:ind w:left="425" w:hanging="425"/>
      </w:pPr>
      <w:r>
        <w:rPr>
          <w:rFonts w:ascii="Times New Roman" w:hAnsi="Times New Roman"/>
          <w:b w:val="0"/>
          <w:i w:val="0"/>
        </w:rPr>
        <w:t>5. Tracy CR, Flynn KJ, Sjoberg DD, Gellhaus PT, Metz CM, Ehdaie B. Optimizing MRI-targeted prostate biopsy: the diagnostic benefit of additional targeted biopsy cores. Urologic Oncology: Seminars and Original Investigations. 2021;39(3):193.e1-193.e6. https://doi.org/10.1016/j.urolonc.2020.09.019</w:t>
      </w:r>
    </w:p>
    <w:p>
      <w:pPr>
        <w:ind w:left="425" w:hanging="425"/>
      </w:pPr>
      <w:r>
        <w:rPr>
          <w:rFonts w:ascii="Times New Roman" w:hAnsi="Times New Roman"/>
          <w:b w:val="0"/>
          <w:i w:val="0"/>
        </w:rPr>
        <w:t>6. Deng R, Shang J, Wu J, et al. A head-to-head comparison of sextant-systematic biopsy vs. extended-systematic biopsy for prostate cancer diagnosis in the era of MRI-targeted biopsy: SEXTANT-PRO non-inferiority randomized clinical trial. eClinicalMedicine. 2025;90:103630. https://doi.org/10.1016/j.eclinm.2025.103630</w:t>
      </w:r>
    </w:p>
    <w:p>
      <w:pPr>
        <w:ind w:left="425" w:hanging="425"/>
      </w:pPr>
      <w:r>
        <w:rPr>
          <w:rFonts w:ascii="Times New Roman" w:hAnsi="Times New Roman"/>
          <w:b w:val="0"/>
          <w:i w:val="0"/>
        </w:rPr>
        <w:t>7. Bryant RJ, Marian IR, Williams R, et al. Local anaesthetic transperineal biopsy versus transrectal prostate biopsy in prostate cancer detection (TRANSLATE): a multicentre, randomised, controlled trial. The Lancet Oncology. 2025;26(5):583-595. https://doi.org/10.1016/s1470-2045(25)00100-7</w:t>
      </w:r>
    </w:p>
    <w:p>
      <w:pPr>
        <w:ind w:left="425" w:hanging="425"/>
      </w:pPr>
      <w:r>
        <w:rPr>
          <w:rFonts w:ascii="Times New Roman" w:hAnsi="Times New Roman"/>
          <w:b w:val="0"/>
          <w:i w:val="0"/>
        </w:rPr>
        <w:t>8. Yang YJ, Yang EJ, Nguyen TT, Choi SY. Transperineal Versus Transrectal Prostate Biopsy: A Systematic Review and Meta-analysis of Randomized Controlled Trials Across Settings With and Without Magnetic Resonance Imaging Targeting. European Urology Open Science. 2026;83:205-218. https://doi.org/10.1016/j.euros.2025.12.008</w:t>
      </w:r>
    </w:p>
    <w:p>
      <w:pPr>
        <w:ind w:left="425" w:hanging="425"/>
      </w:pPr>
      <w:r>
        <w:rPr>
          <w:rFonts w:ascii="Times New Roman" w:hAnsi="Times New Roman"/>
          <w:b w:val="0"/>
          <w:i w:val="0"/>
        </w:rPr>
        <w:t>9. Liss MA, Kim W, Moskowitz D, Szabo RJ. Comparative Effectiveness of Targeted vs Empirical Antibiotic Prophylaxis to Prevent Sepsis from Transrectal Prostate Biopsy: A Retrospective Analysis. Journal of Urology. 2015;194(2):397-402. https://doi.org/10.1016/j.juro.2015.03.110</w:t>
      </w:r>
    </w:p>
    <w:p>
      <w:pPr>
        <w:ind w:left="425" w:hanging="425"/>
      </w:pPr>
      <w:r>
        <w:rPr>
          <w:rFonts w:ascii="Times New Roman" w:hAnsi="Times New Roman"/>
          <w:b w:val="0"/>
          <w:i w:val="0"/>
        </w:rPr>
        <w:t>10. Epstein JI, Feng Z, Trock BJ, Pierorazio PM. Upgrading and Downgrading of Prostate Cancer from Biopsy to Radical Prostatectomy: Incidence and Predictive Factors Using the Modified Gleason Grading System and Factoring in Tertiary Grades. European Urology. 2012;61(5):1019-1024. https://doi.org/10.1016/j.eururo.2012.01.050</w:t>
      </w:r>
    </w:p>
    <w:p>
      <w:pPr>
        <w:ind w:left="425" w:hanging="425"/>
      </w:pPr>
      <w:r>
        <w:rPr>
          <w:rFonts w:ascii="Times New Roman" w:hAnsi="Times New Roman"/>
          <w:b w:val="0"/>
          <w:i w:val="0"/>
        </w:rPr>
        <w:t>11. Turkbey B, Rosenkrantz AB, Haider MA, et al. Prostate Imaging Reporting and Data System Version 2.1: 2019 Update of Prostate Imaging Reporting and Data System Version 2. European Urology. 2019;76(3):340-351. https://doi.org/10.1016/j.eururo.2019.02.033</w:t>
      </w:r>
    </w:p>
    <w:p>
      <w:pPr>
        <w:ind w:left="425" w:hanging="425"/>
      </w:pPr>
      <w:r>
        <w:rPr>
          <w:rFonts w:ascii="Times New Roman" w:hAnsi="Times New Roman"/>
          <w:b w:val="0"/>
          <w:i w:val="0"/>
        </w:rPr>
        <w:t>12. Yusim I, Krenawi M, Mazor E, Novack V, Mabjeesh NJ. The use of prostate specific antigen density to predict clinically significant prostate cancer. Sci Rep. 2020;10(1):20015. https://doi.org/10.1038/s41598-020-76786-9</w:t>
      </w:r>
    </w:p>
    <w:p>
      <w:pPr>
        <w:ind w:left="425" w:hanging="425"/>
      </w:pPr>
      <w:r>
        <w:rPr>
          <w:rFonts w:ascii="Times New Roman" w:hAnsi="Times New Roman"/>
          <w:b w:val="0"/>
          <w:i w:val="0"/>
        </w:rPr>
        <w:t>13. Loeb S, Vellekoop A, Ahmed HU, et al. Systematic Review of Complications of Prostate Biopsy. European Urology. 2013;64(6):876-892. https://doi.org/10.1016/j.eururo.2013.05.049</w:t>
      </w:r>
    </w:p>
    <w:p>
      <w:pPr>
        <w:ind w:left="425" w:hanging="425"/>
      </w:pPr>
      <w:r>
        <w:rPr>
          <w:rFonts w:ascii="Times New Roman" w:hAnsi="Times New Roman"/>
          <w:b w:val="0"/>
          <w:i w:val="0"/>
        </w:rPr>
        <w:t>14. Nam RK, Saskin R, Lee Y, et al. Increasing Hospital Admission Rates for Urological Complications After Transrectal Ultrasound Guided Prostate Biopsy. Journal of Urology. 2010;183(3):963-969. https://doi.org/10.1016/j.juro.2009.11.043</w:t>
      </w:r>
    </w:p>
    <w:p>
      <w:pPr>
        <w:ind w:left="425" w:hanging="425"/>
      </w:pPr>
      <w:r>
        <w:rPr>
          <w:rFonts w:ascii="Times New Roman" w:hAnsi="Times New Roman"/>
          <w:b w:val="0"/>
          <w:i w:val="0"/>
        </w:rPr>
        <w:t>15. European Association of Urology. EAU Guidelines on Prostate Cancer. Arnhem: European Association of Urology; 2026. https://uroweb.org/guidelines/prostate-cancer (living guideline, accessed September 2026).</w:t>
      </w:r>
    </w:p>
    <w:p>
      <w:pPr>
        <w:ind w:left="425" w:hanging="425"/>
      </w:pPr>
      <w:r>
        <w:rPr>
          <w:rFonts w:ascii="Times New Roman" w:hAnsi="Times New Roman"/>
          <w:b w:val="0"/>
          <w:i w:val="0"/>
        </w:rPr>
        <w:t>16. Eastham JA, Auffenberg GB, Barocas DA, et al. Clinically Localized Prostate Cancer: AUA/ASTRO Guideline, Part I: Introduction, Risk Assessment, Staging, and Risk-Based Management. Journal of Urology. 2022;208(1):10-18. https://doi.org/10.1097/ju.0000000000002757</w:t>
      </w:r>
    </w:p>
    <w:p>
      <w:pPr>
        <w:ind w:left="425" w:hanging="425"/>
      </w:pPr>
      <w:r>
        <w:rPr>
          <w:rFonts w:ascii="Times New Roman" w:hAnsi="Times New Roman"/>
          <w:b w:val="0"/>
          <w:i w:val="0"/>
        </w:rPr>
        <w:t>17. Eastham JA, Barocas DA, Chu CE, et al. Clinically Localized Prostate Cancer: AUA/ASTRO Guideline Amendment (2026). J Urol. 2026;216(1):2-11. https://doi.org/10.1097/ju.0000000000005060</w:t>
      </w:r>
    </w:p>
    <w:p>
      <w:pPr>
        <w:ind w:left="425" w:hanging="425"/>
      </w:pPr>
      <w:r>
        <w:rPr>
          <w:rFonts w:ascii="Times New Roman" w:hAnsi="Times New Roman"/>
          <w:b w:val="0"/>
          <w:i w:val="0"/>
        </w:rPr>
        <w:t>18. Ahmed HU, El-Shater Bosaily A, Brown LC, et al. Diagnostic accuracy of multi-parametric MRI and TRUS biopsy in prostate cancer (PROMIS): a paired validating confirmatory study. The Lancet. 2017;389(10071):815-822. https://doi.org/10.1016/s0140-6736(16)32401-1</w:t>
      </w:r>
    </w:p>
    <w:p>
      <w:pPr>
        <w:ind w:left="425" w:hanging="425"/>
      </w:pPr>
      <w:r>
        <w:rPr>
          <w:rFonts w:ascii="Times New Roman" w:hAnsi="Times New Roman"/>
          <w:b w:val="0"/>
          <w:i w:val="0"/>
        </w:rPr>
        <w:t>19. Park KJ, Choi SH, Lee JS, Kim JK, Kim MH. Interreader Agreement with Prostate Imaging Reporting and Data System Version 2 for Prostate Cancer Detection: A Systematic Review and Meta-Analysis. Journal of Urology. 2020;204(4):661-670. https://doi.org/10.1097/ju.0000000000001200</w:t>
      </w:r>
    </w:p>
    <w:p>
      <w:pPr>
        <w:ind w:left="425" w:hanging="425"/>
      </w:pPr>
      <w:r>
        <w:rPr>
          <w:rFonts w:ascii="Times New Roman" w:hAnsi="Times New Roman"/>
          <w:b w:val="0"/>
          <w:i w:val="0"/>
        </w:rPr>
        <w:t>20. Ahdoot M, Wilbur AR, Reese SE, et al. MRI-Targeted, Systematic, and Combined Biopsy for Prostate Cancer Diagnosis. N Engl J Med. 2020;382(10):917-928. https://doi.org/10.1056/nejmoa1910038</w:t>
      </w:r>
    </w:p>
    <w:p>
      <w:pPr>
        <w:ind w:left="425" w:hanging="425"/>
      </w:pPr>
      <w:r>
        <w:rPr>
          <w:rFonts w:ascii="Times New Roman" w:hAnsi="Times New Roman"/>
          <w:b w:val="0"/>
          <w:i w:val="0"/>
        </w:rPr>
        <w:t>21. Klotz L, Chin J, Black PC, et al. Comparison of Multiparametric Magnetic Resonance Imaging–Targeted Biopsy With Systematic Transrectal Ultrasonography Biopsy for Biopsy-Naive Men at Risk for Prostate Cancer: A Phase 3 Randomized Clinical Trial. JAMA Oncol. 2021;7(4):534. https://doi.org/10.1001/jamaoncol.2020.7589</w:t>
      </w:r>
    </w:p>
    <w:p>
      <w:pPr>
        <w:ind w:left="425" w:hanging="425"/>
      </w:pPr>
      <w:r>
        <w:rPr>
          <w:rFonts w:ascii="Times New Roman" w:hAnsi="Times New Roman"/>
          <w:b w:val="0"/>
          <w:i w:val="0"/>
        </w:rPr>
        <w:t>22. Elkhoury FF, Felker ER, Kwan L, et al. Comparison of Targeted vs Systematic Prostate Biopsy in Men Who Are Biopsy Naive: The Prospective Assessment of Image Registration in the Diagnosis of Prostate Cancer (PAIREDCAP) Study. JAMA Surg. 2019;154(9):811. https://doi.org/10.1001/jamasurg.2019.1734</w:t>
      </w:r>
    </w:p>
    <w:p>
      <w:pPr>
        <w:ind w:left="425" w:hanging="425"/>
      </w:pPr>
      <w:r>
        <w:rPr>
          <w:rFonts w:ascii="Times New Roman" w:hAnsi="Times New Roman"/>
          <w:b w:val="0"/>
          <w:i w:val="0"/>
        </w:rPr>
        <w:t>23. Costa DN, Goldberg K, Leon ADD, et al. Magnetic Resonance Imaging–guided In-bore and Magnetic Resonance Imaging-transrectal Ultrasound Fusion Targeted Prostate Biopsies: An Adjusted Comparison of Clinically Significant Prostate Cancer Detection Rate. European Urology Oncology. 2019;2(4):397-404. https://doi.org/10.1016/j.euo.2018.08.022</w:t>
      </w:r>
    </w:p>
    <w:p>
      <w:pPr>
        <w:ind w:left="425" w:hanging="425"/>
      </w:pPr>
      <w:r>
        <w:rPr>
          <w:rFonts w:ascii="Times New Roman" w:hAnsi="Times New Roman"/>
          <w:b w:val="0"/>
          <w:i w:val="0"/>
        </w:rPr>
        <w:t>24. Borghesi M, Ahmed H, Nam R, et al. Complications After Systematic, Random, and Image-guided Prostate Biopsy. European Urology. 2017;71(3):353-365. https://doi.org/10.1016/j.eururo.2016.08.004</w:t>
      </w:r>
    </w:p>
    <w:p>
      <w:pPr>
        <w:ind w:left="425" w:hanging="425"/>
      </w:pPr>
      <w:r>
        <w:rPr>
          <w:rFonts w:ascii="Times New Roman" w:hAnsi="Times New Roman"/>
          <w:b w:val="0"/>
          <w:i w:val="0"/>
        </w:rPr>
        <w:t>25. Hao S, Chai C, Li G, Tang N, Wang N, Yu X. Outdated Fact Detection in Knowledge Bases. In: 2020 IEEE 36th International Conference on Data Engineering (ICDE). IEEE; 2020:1890-1893. https://doi.org/10.1109/icde48307.2020.00196</w:t>
      </w:r>
    </w:p>
    <w:p>
      <w:pPr>
        <w:ind w:left="425" w:hanging="425"/>
      </w:pPr>
      <w:r>
        <w:rPr>
          <w:rFonts w:ascii="Times New Roman" w:hAnsi="Times New Roman"/>
          <w:b w:val="0"/>
          <w:i w:val="0"/>
        </w:rPr>
        <w:t>26. Ray CE, Wilson GM, Hughes AM, et al. Alert fatigue measurement in clinical decision support: a systematic review. Journal of the American Medical Informatics Association. 2026;33(8):1523-1531. https://doi.org/10.1093/jamia/ocag064</w:t>
      </w:r>
    </w:p>
    <w:p>
      <w:pPr>
        <w:ind w:left="425" w:hanging="425"/>
      </w:pPr>
      <w:r>
        <w:rPr>
          <w:rFonts w:ascii="Times New Roman" w:hAnsi="Times New Roman"/>
          <w:b w:val="0"/>
          <w:i w:val="0"/>
        </w:rPr>
        <w:t>27. Sutton RT, Pincock D, Baumgart DC, Sadowski DC, Fedorak RN, Kroeker KI. An overview of clinical decision support systems: benefits, risks, and strategies for success. npj Digit. Med. 2020;3(1):17. https://doi.org/10.1038/s41746-020-0221-y</w:t>
      </w:r>
    </w:p>
    <w:p>
      <w:pPr>
        <w:ind w:left="425" w:hanging="425"/>
      </w:pPr>
      <w:r>
        <w:rPr>
          <w:rFonts w:ascii="Times New Roman" w:hAnsi="Times New Roman"/>
          <w:b w:val="0"/>
          <w:i w:val="0"/>
        </w:rPr>
        <w:t>28. Rajpurkar P, Chen E, Banerjee O, Topol EJ. AI in health and medicine. Nat Med. 2022;28(1):31-38. https://doi.org/10.1038/s41591-021-01614-0</w:t>
      </w:r>
    </w:p>
    <w:p>
      <w:pPr>
        <w:ind w:left="425" w:hanging="425"/>
      </w:pPr>
      <w:r>
        <w:rPr>
          <w:rFonts w:ascii="Times New Roman" w:hAnsi="Times New Roman"/>
          <w:b w:val="0"/>
          <w:i w:val="0"/>
        </w:rPr>
        <w:t>29. Thirunavukarasu AJ, Ting DSJ, Elangovan K, Gutierrez L, Tan TF, Ting DSW. Large language models in medicine. Nat Med. 2023;29(8):1930-1940. https://doi.org/10.1038/s41591-023-02448-8</w:t>
      </w:r>
    </w:p>
    <w:p>
      <w:pPr>
        <w:ind w:left="425" w:hanging="425"/>
      </w:pPr>
      <w:r>
        <w:rPr>
          <w:rFonts w:ascii="Times New Roman" w:hAnsi="Times New Roman"/>
          <w:b w:val="0"/>
          <w:i w:val="0"/>
        </w:rPr>
        <w:t>30. Singhal K, Azizi S, Tu T, et al. Large language models encode clinical knowledge. Nature. 2023;620(7972):172-180. https://doi.org/10.1038/s41586-023-06291-2</w:t>
      </w:r>
    </w:p>
    <w:p>
      <w:pPr>
        <w:ind w:left="425" w:hanging="425"/>
      </w:pPr>
      <w:r>
        <w:rPr>
          <w:rFonts w:ascii="Times New Roman" w:hAnsi="Times New Roman"/>
          <w:b w:val="0"/>
          <w:i w:val="0"/>
        </w:rPr>
        <w:t>31. Singhal K, Tu T, Gottweis J, et al. Toward expert-level medical question answering with large language models. Nat Med. 2025;31(3):943-950. https://doi.org/10.1038/s41591-024-03423-7</w:t>
      </w:r>
    </w:p>
    <w:p>
      <w:pPr>
        <w:ind w:left="425" w:hanging="425"/>
      </w:pPr>
      <w:r>
        <w:rPr>
          <w:rFonts w:ascii="Times New Roman" w:hAnsi="Times New Roman"/>
          <w:b w:val="0"/>
          <w:i w:val="0"/>
        </w:rPr>
        <w:t>32. Ji Z, Lee N, Frieske R, et al. Survey of Hallucination in Natural Language Generation. ACM Comput. Surv. 2023;55(12):1-38. https://doi.org/10.1145/3571730</w:t>
      </w:r>
    </w:p>
    <w:p>
      <w:pPr>
        <w:ind w:left="425" w:hanging="425"/>
      </w:pPr>
      <w:r>
        <w:rPr>
          <w:rFonts w:ascii="Times New Roman" w:hAnsi="Times New Roman"/>
          <w:b w:val="0"/>
          <w:i w:val="0"/>
        </w:rPr>
        <w:t>33. Fast D, Adams LC, Busch F, et al. Autonomous medical evaluation for guideline adherence of large language models. npj Digit. Med. 2024;7(1):358. https://doi.org/10.1038/s41746-024-01356-6</w:t>
      </w:r>
    </w:p>
    <w:p>
      <w:pPr>
        <w:ind w:left="425" w:hanging="425"/>
      </w:pPr>
      <w:r>
        <w:rPr>
          <w:rFonts w:ascii="Times New Roman" w:hAnsi="Times New Roman"/>
          <w:b w:val="0"/>
          <w:i w:val="0"/>
        </w:rPr>
        <w:t>34. Wang Y, Peng C, Hu R, et al. A knowledge-enhanced domain-aware large language model agent for atrial fibrillation management. npj Digit. Med. 2026. https://doi.org/10.1038/s41746-026-03038-x</w:t>
      </w:r>
    </w:p>
    <w:p>
      <w:pPr>
        <w:ind w:left="425" w:hanging="425"/>
      </w:pPr>
      <w:r>
        <w:rPr>
          <w:rFonts w:ascii="Times New Roman" w:hAnsi="Times New Roman"/>
          <w:b w:val="0"/>
          <w:i w:val="0"/>
        </w:rPr>
        <w:t>35. Wang Y, Tan W, Cheng S, et al. Large Language Model Agent for Managing Patients With Suspected Hypertension. Hypertension. 2026;83(1):212-224. https://doi.org/10.1161/hypertensionaha.125.25305</w:t>
      </w:r>
    </w:p>
    <w:p>
      <w:pPr>
        <w:ind w:left="425" w:hanging="425"/>
      </w:pPr>
      <w:r>
        <w:rPr>
          <w:rFonts w:ascii="Times New Roman" w:hAnsi="Times New Roman"/>
          <w:b w:val="0"/>
          <w:i w:val="0"/>
        </w:rPr>
        <w:t>36. Hao Y, Holmes J, Waddle MR, et al. Personalizing prostate cancer education for patients using an EHR-Integrated LLM agent. npj Digit. Med. 2025;8(1):770. https://doi.org/10.1038/s41746-025-02166-0</w:t>
      </w:r>
    </w:p>
    <w:p>
      <w:pPr>
        <w:ind w:left="425" w:hanging="425"/>
      </w:pPr>
      <w:r>
        <w:rPr>
          <w:rFonts w:ascii="Times New Roman" w:hAnsi="Times New Roman"/>
          <w:b w:val="0"/>
          <w:i w:val="0"/>
        </w:rPr>
        <w:t>37. Wang Z, Jin Q, Wei CH, et al. GeneAgent: self-verification language agent for gene-set analysis using domain databases. Nat Methods. 2025;22(8):1677-1685. https://doi.org/10.1038/s41592-025-02748-6</w:t>
      </w:r>
    </w:p>
    <w:p>
      <w:pPr>
        <w:ind w:left="425" w:hanging="425"/>
      </w:pPr>
      <w:r>
        <w:rPr>
          <w:rFonts w:ascii="Times New Roman" w:hAnsi="Times New Roman"/>
          <w:b w:val="0"/>
          <w:i w:val="0"/>
        </w:rPr>
        <w:t>38. Lewis P, Perez E, Piktus A, et al. Retrieval-augmented generation for knowledge-intensive NLP tasks. Adv Neural Inf Process Syst. 2020;33:9459-74. arXiv:2005.11401 (verified via arXiv API).</w:t>
      </w:r>
    </w:p>
    <w:p>
      <w:pPr>
        <w:ind w:left="425" w:hanging="425"/>
      </w:pPr>
      <w:r>
        <w:rPr>
          <w:rFonts w:ascii="Times New Roman" w:hAnsi="Times New Roman"/>
          <w:b w:val="0"/>
          <w:i w:val="0"/>
        </w:rPr>
        <w:t>39. Xiong G, Jin Q, Lu Z, Zhang A. Benchmarking Retrieval-Augmented Generation for Medicine. Findings of the Association for Computational Linguistics ACL 2024. 2024:6233-6251. https://doi.org/10.18653/v1/2024.findings-acl.372</w:t>
      </w:r>
    </w:p>
    <w:p>
      <w:pPr>
        <w:ind w:left="425" w:hanging="425"/>
      </w:pPr>
      <w:r>
        <w:rPr>
          <w:rFonts w:ascii="Times New Roman" w:hAnsi="Times New Roman"/>
          <w:b w:val="0"/>
          <w:i w:val="0"/>
        </w:rPr>
        <w:t>40. Pan S, Luo L, Wang Y, Chen C, Wang J, Wu X. Unifying Large Language Models and Knowledge Graphs: A Roadmap. IEEE Trans. Knowl. Data Eng. 2024;36(7):3580-3599. https://doi.org/10.1109/tkde.2024.3352100</w:t>
      </w:r>
    </w:p>
    <w:p>
      <w:pPr>
        <w:ind w:left="425" w:hanging="425"/>
      </w:pPr>
      <w:r>
        <w:rPr>
          <w:rFonts w:ascii="Times New Roman" w:hAnsi="Times New Roman"/>
          <w:b w:val="0"/>
          <w:i w:val="0"/>
        </w:rPr>
        <w:t>41. Guo Z, Xia L, Yu Y, Ao T, Huang C. LightRAG: simple and fast retrieval-augmented generation. arXiv:2410.05779, 2024 (verified against arXiv listing).</w:t>
      </w:r>
    </w:p>
    <w:p>
      <w:pPr>
        <w:ind w:left="425" w:hanging="425"/>
      </w:pPr>
      <w:r>
        <w:rPr>
          <w:rFonts w:ascii="Times New Roman" w:hAnsi="Times New Roman"/>
          <w:b w:val="0"/>
          <w:i w:val="0"/>
        </w:rPr>
        <w:t>42. Edge D, Trinh H, Cheng N, et al. From local to global: a Graph RAG approach to query-focused summarization. arXiv:2404.16130, 2024 (verified via arXiv API).</w:t>
      </w:r>
    </w:p>
    <w:p>
      <w:pPr>
        <w:ind w:left="425" w:hanging="425"/>
      </w:pPr>
      <w:r>
        <w:rPr>
          <w:rFonts w:ascii="Times New Roman" w:hAnsi="Times New Roman"/>
          <w:b w:val="0"/>
          <w:i w:val="0"/>
        </w:rPr>
        <w:t>43. Epstein JI, Amin MB, Reuter VE, Humphrey PA. Contemporary Gleason Grading of Prostatic Carcinoma: An Update With Discussion on Practical Issues to Implement the 2014 International Society of Urological Pathology (ISUP) Consensus Conference on Gleason Grading of Prostatic Carcinoma. American Journal of Surgical Pathology. 2017;41(4):e1-e7. https://doi.org/10.1097/pas.0000000000000820</w:t>
      </w:r>
    </w:p>
    <w:p>
      <w:pPr>
        <w:ind w:left="425" w:hanging="425"/>
      </w:pPr>
      <w:r>
        <w:rPr>
          <w:rFonts w:ascii="Times New Roman" w:hAnsi="Times New Roman"/>
          <w:b w:val="0"/>
          <w:i w:val="0"/>
        </w:rPr>
        <w:t>44. Giganti F, Allen C, Emberton M, Moore CM, Kasivisvanathan V. Prostate Imaging Quality (PI-QUAL): A New Quality Control Scoring System for Multiparametric Magnetic Resonance Imaging of the Prostate from the PRECISION trial. European Urology Oncology. 2020;3(5):615-619. https://doi.org/10.1016/j.euo.2020.06.007</w:t>
      </w:r>
    </w:p>
    <w:p>
      <w:pPr>
        <w:ind w:left="425" w:hanging="425"/>
      </w:pPr>
      <w:r>
        <w:rPr>
          <w:rFonts w:ascii="Times New Roman" w:hAnsi="Times New Roman"/>
          <w:b w:val="0"/>
          <w:i w:val="0"/>
        </w:rPr>
        <w:t>45. Cohen J. A Coefficient of Agreement for Nominal Scales. Educational and Psychological Measurement. 1960;20(1):37-46. https://doi.org/10.1177/001316446002000104</w:t>
      </w:r>
    </w:p>
    <w:p>
      <w:pPr>
        <w:ind w:left="425" w:hanging="425"/>
      </w:pPr>
      <w:r>
        <w:rPr>
          <w:rFonts w:ascii="Times New Roman" w:hAnsi="Times New Roman"/>
          <w:b w:val="0"/>
          <w:i w:val="0"/>
        </w:rPr>
        <w:t>46. Benjamini Y, Hochberg Y. Controlling the False Discovery Rate: A Practical and Powerful Approach to Multiple Testing. Journal of the Royal Statistical Society Series B: Statistical Methodology. 1995;57(1):289-300. https://doi.org/10.1111/j.2517-6161.1995.tb02031.x</w:t>
      </w:r>
    </w:p>
    <w:p>
      <w:pPr>
        <w:ind w:left="425" w:hanging="425"/>
      </w:pPr>
      <w:r>
        <w:rPr>
          <w:rFonts w:ascii="Times New Roman" w:hAnsi="Times New Roman"/>
          <w:b w:val="0"/>
          <w:i w:val="0"/>
        </w:rPr>
        <w:t>47. Fleiss JL. Measuring nominal scale agreement among many raters.. Psychological Bulletin. 1971;76(5):378-382. https://doi.org/10.1037/h0031619</w:t>
      </w:r>
    </w:p>
    <w:p>
      <w:pPr>
        <w:ind w:left="425" w:hanging="425"/>
      </w:pPr>
      <w:r>
        <w:rPr>
          <w:rFonts w:ascii="Times New Roman" w:hAnsi="Times New Roman"/>
          <w:b w:val="0"/>
          <w:i w:val="0"/>
        </w:rPr>
        <w:t>48. Feinstein AR, Cicchetti DV. High agreement but low Kappa: I. the problems of two paradoxes. Journal of Clinical Epidemiology. 1990;43(6):543-549. https://doi.org/10.1016/0895-4356(90)90158-l</w:t>
      </w:r>
    </w:p>
    <w:p>
      <w:pPr>
        <w:ind w:left="425" w:hanging="425"/>
      </w:pPr>
      <w:r>
        <w:rPr>
          <w:rFonts w:ascii="Times New Roman" w:hAnsi="Times New Roman"/>
          <w:b w:val="0"/>
          <w:i w:val="0"/>
        </w:rPr>
        <w:t>49. Ayers JW, Poliak A, Dredze M, et al. Comparing Physician and Artificial Intelligence Chatbot Responses to Patient Questions Posted to a Public Social Media Forum. JAMA Intern Med. 2023;183(6):589. https://doi.org/10.1001/jamainternmed.2023.1838</w:t>
      </w:r>
    </w:p>
    <w:p>
      <w:pPr>
        <w:ind w:left="425" w:hanging="425"/>
      </w:pPr>
      <w:r>
        <w:rPr>
          <w:rFonts w:ascii="Times New Roman" w:hAnsi="Times New Roman"/>
          <w:b w:val="0"/>
          <w:i w:val="0"/>
        </w:rPr>
        <w:t>50. Vasey B, Nagendran M, Campbell B, et al. Reporting guideline for the early stage clinical evaluation of decision support systems driven by artificial intelligence: DECIDE-AI. BMJ. 2022;377:e070904. https://doi.org/10.1136/bmj-2022-070904</w:t>
      </w:r>
    </w:p>
    <w:p>
      <w:pPr>
        <w:ind w:left="425" w:hanging="425"/>
      </w:pPr>
      <w:r>
        <w:rPr>
          <w:rFonts w:ascii="Times New Roman" w:hAnsi="Times New Roman"/>
          <w:b w:val="0"/>
          <w:i w:val="0"/>
        </w:rPr>
        <w:t>51. Collins GS, Moons KGM, Dhiman P, et al. TRIPOD+AI statement: updated guidance for reporting clinical prediction models that use regression or machine learning methods. BMJ. 2024;385:e078378. https://doi.org/10.1136/bmj-2023-078378</w:t>
      </w:r>
    </w:p>
    <w:p>
      <w:pPr>
        <w:ind w:left="425" w:hanging="425"/>
      </w:pPr>
      <w:r>
        <w:rPr>
          <w:rFonts w:ascii="Times New Roman" w:hAnsi="Times New Roman"/>
          <w:b w:val="0"/>
          <w:i w:val="0"/>
        </w:rPr>
        <w:t>52. Al-Khanaty A, Hennes D, Hofman MS, et al. Avoiding Prostate Biopsy in Early Prostate Cancer Detection: From Liquid Biopsy to PSMA-PET. European Urology Focus. 2026. https://doi.org/10.1016/j.euf.2026.05.019</w:t>
      </w:r>
    </w:p>
    <w:p>
      <w:pPr>
        <w:ind w:left="425" w:hanging="425"/>
      </w:pPr>
      <w:r>
        <w:rPr>
          <w:rFonts w:ascii="Times New Roman" w:hAnsi="Times New Roman"/>
          <w:b w:val="0"/>
          <w:i w:val="0"/>
        </w:rPr>
        <w:t>53. XU Z. QianLieAnHui (probiopsy-rag): a hybrid rule-engine, knowledge-graph, and LLM-arbitration decision-support system for the prostate biopsy pathway, validated against the ProBIOPSY consensus [software, version v1.0.1]. Zenodo. 2026. https://doi.org/10.5281/zenodo.22898439 (verified via DataCite API).</w:t>
      </w:r>
    </w:p>
    <w:p>
      <w:r>
        <w:rPr>
          <w:rFonts w:ascii="Times New Roman" w:hAnsi="Times New Roman"/>
          <w:b w:val="0"/>
          <w:i w:val="0"/>
        </w:rPr>
        <w:t xml:space="preserve">&gt; </w:t>
      </w:r>
      <w:r>
        <w:rPr>
          <w:rFonts w:ascii="Times New Roman" w:hAnsi="Times New Roman"/>
          <w:b/>
          <w:i w:val="0"/>
        </w:rPr>
        <w:t>Reference QC:</w:t>
      </w:r>
      <w:r>
        <w:rPr>
          <w:rFonts w:ascii="Times New Roman" w:hAnsi="Times New Roman"/>
          <w:b w:val="0"/>
          <w:i w:val="0"/>
        </w:rPr>
        <w:t xml:space="preserve"> all 53 references verified programmatically — DOI-based entries resolved against the Crossref API (api.crossref.org; metadata auto-generated in `scripts/renumber_refs.py`, cache `outputs/paper/refs_vancouver.json`); the round-6 clinical additions (2026-10-02: AUA/ASTRO guideline articles, biopsy complications, targeted prophylaxis, transperineal-vs-transrectal trial evidence, PI-RADS inter-reader agreement, biopsy-to-prostatectomy concordance) were additionally confirmed against PubMed via the NCBI E-utilities API, and the round-7 medical-agent positioning additions (PULSE, the hypertension and prostate-cancer agents, GeneAgent) via Crossref (PMIDs and DOIs recorded in the verification scripts); arXiv entries (refs for LightRAG, GraphRAG, Lewis RAG) verified via the arXiv API / arXiv listings, the Zenodo software deposit via the DataCite API; the EAU guideline is a living web citation — update edition and access date at submission time.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