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decision-support agent: (1) a deterministic rule engine (12 consensus + 4 patient-factor escalation rules, cross-checked against EAU and AUA/ASTRO guidelines)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under one fixed generator (GLM-5.3-Flash); baselines were re-run with flagship-tier GLM-5.3.</w:t>
      </w:r>
    </w:p>
    <w:p>
      <w:r>
        <w:rPr>
          <w:rFonts w:ascii="Times New Roman" w:hAnsi="Times New Roman"/>
          <w:b/>
          <w:i w:val="0"/>
        </w:rPr>
        <w:t>Results:</w:t>
      </w:r>
      <w:r>
        <w:rPr>
          <w:rFonts w:ascii="Times New Roman" w:hAnsi="Times New Roman"/>
          <w:b w:val="0"/>
          <w:i w:val="0"/>
        </w:rPr>
        <w:t xml:space="preserve"> The agent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0.8% of retrieval-baseline runs versus 17.0% for the agent).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reduces disease-specific mortality [3] and directs a diagnostic pathway whose cornerstone is biopsy [4]. The modern biopsy pathway extends far beyond a single "to biopsy or not" question: whether to add systematic cores to MRI-targeted cores [5], which saturation scheme to use [6], transperineal versus transrectal access — whose sepsis and pain trade-offs have now been quantified by a multicentre randomised trial and a meta-analysis of randomised trials [7,8] — anaesthesia and antimicrobial prophylaxis, where targeted versus empirical strategies measurably change post-biopsy sepsis risk [9], and whether the harvested tissue satisfies the demands of subsequent treatment planning, given the persistent biopsy-to-prostatectomy grade discordance [10]. These choices must all be weighed against patient-specific factors — PI-RADS grade [11], PSA density [12], MRI quality, prior negative biopsy, anticoagulation, urinary-tract-infection risk factors, prostate volume, and more — against the backdrop of a complication burden that is far from negligible [13,14], and as codified in the EAU Prostate Cancer Guidelines [15], the AUA/ASTRO Clinically Localized Prostate Cancer Guideline [16] with its 2026 Amendment [17], and the ProBIOPSY consensus [4]. This pathway rests on validated mpMRI diagnostic accuracy [18], tempered by moderate inter-reader agreement for PI-RADS version 2 [19], and on repeated demonstrations that MRI-targeted sampling improves clinically significant cancer detection [20-23]. The ProBIOPSY consensus, a multidisciplinary international effort published in 2026, codified this pathway into 112 final statements and documented substantial international practice variation [4].</w:t>
      </w:r>
    </w:p>
    <w:p>
      <w:r>
        <w:rPr>
          <w:rFonts w:ascii="Times New Roman" w:hAnsi="Times New Roman"/>
          <w:b w:val="0"/>
          <w:i w:val="0"/>
        </w:rPr>
        <w:t xml:space="preserve">Four operational pain points of this pathway motivate the present design. </w:t>
      </w:r>
      <w:r>
        <w:rPr>
          <w:rFonts w:ascii="Times New Roman" w:hAnsi="Times New Roman"/>
          <w:b/>
          <w:i w:val="0"/>
        </w:rPr>
        <w:t>(i) Contextual safety decisions that generic guidance cannot resolve.</w:t>
      </w:r>
      <w:r>
        <w:rPr>
          <w:rFonts w:ascii="Times New Roman" w:hAnsi="Times New Roman"/>
          <w:b w:val="0"/>
          <w:i w:val="0"/>
        </w:rPr>
        <w:t xml:space="preserve"> Prostate biopsy carries a well-characterised complication burden [24], and the correct route, prophylaxis intensity, and scheme depend on the individual patient's risk profile — the very decisions where one-size-fits-all advice fails and a shortcut to "no biopsy" or "always biopsy" is clinically unacceptable. </w:t>
      </w:r>
      <w:r>
        <w:rPr>
          <w:rFonts w:ascii="Times New Roman" w:hAnsi="Times New Roman"/>
          <w:b/>
          <w:i w:val="0"/>
        </w:rPr>
        <w:t>(ii) A combinatorial, non-executable evidence base.</w:t>
      </w:r>
      <w:r>
        <w:rPr>
          <w:rFonts w:ascii="Times New Roman" w:hAnsi="Times New Roman"/>
          <w:b w:val="0"/>
          <w:i w:val="0"/>
        </w:rPr>
        <w:t xml:space="preserve"> A consensus document or guideline is not an executable artifact: clinicians face a space of patient scenarios × biopsy decisions (51 scenario archetypes × 54 decision items in the registries developed here) that static lookup cannot cover. </w:t>
      </w:r>
      <w:r>
        <w:rPr>
          <w:rFonts w:ascii="Times New Roman" w:hAnsi="Times New Roman"/>
          <w:b/>
          <w:i w:val="0"/>
        </w:rPr>
        <w:t>(iii) Knowledge tools that decay or distract.</w:t>
      </w:r>
      <w:r>
        <w:rPr>
          <w:rFonts w:ascii="Times New Roman" w:hAnsi="Times New Roman"/>
          <w:b w:val="0"/>
          <w:i w:val="0"/>
        </w:rPr>
        <w:t xml:space="preserve"> Rule-based clinical decision support systems (CDSS) capture deterministic logic but are slow to update [25], contribute to alert fatigue [26], and struggle with natural-language evidence [27]. </w:t>
      </w:r>
      <w:r>
        <w:rPr>
          <w:rFonts w:ascii="Times New Roman" w:hAnsi="Times New Roman"/>
          <w:b/>
          <w:i w:val="0"/>
        </w:rPr>
        <w:t>(iv) Flexible-but-unreliable generation.</w:t>
      </w:r>
      <w:r>
        <w:rPr>
          <w:rFonts w:ascii="Times New Roman" w:hAnsi="Times New Roman"/>
          <w:b w:val="0"/>
          <w:i w:val="0"/>
        </w:rPr>
        <w:t xml:space="preserve"> Large language models (LLMs) promise flexible language understanding [28,29] and are approaching expert performance on medical question answering [30,31], yet carry well-documented risks in medicine — hallucination, unstable outputs, and unverifiable provenance [32] — and can diverge from clinical guidelines [33]. Domain-specific LLM agents are now emerging rapidly — for atrial-fibrillation patient self-management [34], suspected-hypertension management [35], prostate-cancer patient education [36], and gene-set analysis with self-verification [37] — yet these frameworks rely on retrieval and prompt-level reflection without deterministic safeguards, and none, to our knowledge, is evaluated against a statement-level guideline gold standard. RAG grounds generation in an external corpus [38], and medical RAG benchmarks show promise [39],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 and each architectural layer is aimed at a specific pain point.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[40] — each layer covers the others' failure modes while preserving a complete audit trail from every output back to numbered consensus statements and evidence chunks. At the retrieval layer we adopt LightRAG [41], a graph-based dual-level retrieval framework that outperforms Microsoft GraphRAG [42]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[43]);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[44]),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consensus: every prostate MRI must be checked against PI-QUAL v2 quality criteria before the biopsy pathway is decided (Q4a median 9, Q4b median 8 — consensus agree);</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when MRI is negative but clinical suspicion remains high (abnormal DRE, persistently elevated PSA, strong family history, Black ethnicity, prior negative biopsy), a 12-core systematic biopsy is still endorsed…</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'neither' (Q34 median 6), and the proposed minimum of 3 cores per target failed to reach consensus…</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scales th…</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targeted + perilesional biopsy without contralateral systematic cores for a unifocal lesion (Q43 median 7 — consensus agree) and for multifocal ipsilateral disease reaching bilateral tissue adequacy is…</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etc.) escalate the perioperative rule R11 — prefer the transperineal route and augmented prophylaxis…</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[41]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[15] and the AUA/ASTRO Clinically Localized Prostate Cancer Guideline [16] and its 2026 Amendment [17];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[49]; for constrained, auditable decision support, however, our results indicate that decision architecture — not model capability — is the dominant lever. Medical RAG benchmarks such as MIRAGE [39]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[42] and LightRAG [41],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[37].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[15]; the AUA/ASTRO guideline and its 2026 Amendment converge on the same action-level recommendations for localized disease [16,17]. The underlying trial evidence is recent and consolidating — randomised evidence on transperineal access [7], an RCT meta-analysis across imaging-targeted and non-targeted settings [8], and targeted prophylaxis studies [9]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[19] is carried as explicit scenario flags; grade-discordance-aware treatment planning [10] is anchored by the largest statement domain; and the complication burden that motivates conservatism [24]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[50,51]; (iii) extending the rule base to other guideline chapters (active surveillance, imaging follow-up) and emerging PSMA-PET–first pathways [52]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[53].</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2249842"/>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2249842"/>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8.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9.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10.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11.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12.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13.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14.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15.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16.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17.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18.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19.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20.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21.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22.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23.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24.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38.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39.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40.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41. Guo Z, Xia L, Yu Y, Ao T, Huang C. LightRAG: simple and fast retrieval-augmented generation. arXiv:2410.05779, 2024 (verified against arXiv listing).</w:t>
      </w:r>
    </w:p>
    <w:p>
      <w:pPr>
        <w:ind w:left="425" w:hanging="425"/>
      </w:pPr>
      <w:r>
        <w:rPr>
          <w:rFonts w:ascii="Times New Roman" w:hAnsi="Times New Roman"/>
          <w:b w:val="0"/>
          <w:i w:val="0"/>
        </w:rPr>
        <w:t>42. Edge D, Trinh H, Cheng N, et al. From local to global: a Graph RAG approach to query-focused summarization. arXiv:2404.16130, 2024 (verified via arXiv API).</w:t>
      </w:r>
    </w:p>
    <w:p>
      <w:pPr>
        <w:ind w:left="425" w:hanging="425"/>
      </w:pPr>
      <w:r>
        <w:rPr>
          <w:rFonts w:ascii="Times New Roman" w:hAnsi="Times New Roman"/>
          <w:b w:val="0"/>
          <w:i w:val="0"/>
        </w:rPr>
        <w:t>43.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44.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51.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52.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53.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53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