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245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r>
        <w:rPr>
          <w:rFonts w:ascii="Times New Roman" w:hAnsi="Times New Roman"/>
          <w:b/>
          <w:i w:val="0"/>
        </w:rPr>
        <w:t>Methods:</w:t>
      </w:r>
      <w:r>
        <w:rPr>
          <w:rFonts w:ascii="Times New Roman" w:hAnsi="Times New Roman"/>
          <w:b w:val="0"/>
          <w:i w:val="0"/>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Benchmarked across four architectures × five seeds × 112 statements (2,240 runs, generator fixed).</w:t>
      </w:r>
    </w:p>
    <w:p>
      <w:r>
        <w:rPr>
          <w:rFonts w:ascii="Times New Roman" w:hAnsi="Times New Roman"/>
          <w:b/>
          <w:i w:val="0"/>
        </w:rPr>
        <w:t>Results:</w:t>
      </w:r>
      <w:r>
        <w:rPr>
          <w:rFonts w:ascii="Times New Roman" w:hAnsi="Times New Roman"/>
          <w:b w:val="0"/>
          <w:i w:val="0"/>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r>
        <w:rPr>
          <w:rFonts w:ascii="Times New Roman" w:hAnsi="Times New Roman"/>
          <w:b/>
          <w:i w:val="0"/>
        </w:rPr>
        <w:t>Conclusions:</w:t>
      </w:r>
      <w:r>
        <w:rPr>
          <w:rFonts w:ascii="Times New Roman" w:hAnsi="Times New Roman"/>
          <w:b w:val="0"/>
          <w:i w:val="0"/>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prostate cancer.</w:t>
      </w:r>
    </w:p>
    <w:p>
      <w:r>
        <w:rPr>
          <w:rFonts w:ascii="Times New Roman" w:hAnsi="Times New Roman"/>
          <w:b w:val="0"/>
          <w:i w:val="0"/>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w:t>
      </w:r>
    </w:p>
    <w:p>
      <w:r>
        <w:rPr>
          <w:rFonts w:ascii="Times New Roman" w:hAnsi="Times New Roman"/>
          <w:b w:val="0"/>
          <w:i w:val="0"/>
        </w:rPr>
        <w:t>Compounding this uncertainty, the measurements that drive these choices are themselves imperfect. mpMRI misses clinically significant cancer in a minority of men [14]; PI-RADS readings agree only moderately between readers [15,16], and image quality gates their interpretation [17]; PSA-density thresholds temper but do not settle the decision [18]. Every configuration carries the procedure's well-characterised complication burden [19,20], and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 Software is needed — but existing approaches fall short in complementary ways.</w:t>
      </w:r>
    </w:p>
    <w:p>
      <w:r>
        <w:rPr>
          <w:rFonts w:ascii="Times New Roman" w:hAnsi="Times New Roman"/>
          <w:b w:val="0"/>
          <w:i w:val="0"/>
        </w:rPr>
        <w:t>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w:t>
      </w:r>
    </w:p>
    <w:p>
      <w:r>
        <w:rPr>
          <w:rFonts w:ascii="Times New Roman" w:hAnsi="Times New Roman"/>
          <w:b w:val="0"/>
          <w:i w:val="0"/>
        </w:rPr>
        <w:t>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The LLM's answer is not hallucinated — it is the right answer for the wrong patient.</w:t>
      </w:r>
    </w:p>
    <w:p>
      <w:r>
        <w:rPr>
          <w:rFonts w:ascii="Times New Roman" w:hAnsi="Times New Roman"/>
          <w:b w:val="0"/>
          <w:i w:val="0"/>
        </w:rPr>
        <w:t xml:space="preserve">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What is needed, therefore, is a system that combines the linguistic flexibility of LLMs, the traceable evidence chain of knowledge-graph retrieval, and the deterministic safety of hard constraints — each covering the others' failure modes. This integration is consistent with emerging roadmaps for unifying large language models and knowledge graphs [41]. QianLieAnHui is that system, realised as an agent. Its rule engine mechanically enforces consensus constraints that prompting cannot; its retrieval layer surfaces the evidence chain behind each recommendation; and its arbiter supplies the linguistic flexibility that rules alone cannot provide.</w:t>
      </w:r>
    </w:p>
    <w:p>
      <w:r>
        <w:rPr>
          <w:rFonts w:ascii="Times New Roman" w:hAnsi="Times New Roman"/>
          <w:b w:val="0"/>
          <w:i w:val="0"/>
        </w:rPr>
        <w:t>We developed and validated QianLieAnHui (前列安汇; "probiopsy-rag"), a decision-support agent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Every prostate MRI must be checked against PI-QUAL v2 quality criteria before the biopsy pathway is decided (Q4a median 9, Q4b median 8 — consensus agree); a quality-assured scan — 1.5T or 3T, biparametric without routine contrast-enhanced sequences — is acceptable (Q1, Q5-Q7 median 8), and MRI that fails quality standards must not gate the biopsy decision.</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 — whereas PSMA PET and microultrasound remain conditional options rather than standard workup (Q18, Q21).</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When MRI is negative but clinical suspicion remains high (abnormal DRE, persistently elevated PSA, strong family history, Black ethnicity, or prior negative biopsy), a 12-core systematic biopsy is still endorsed (Q25 median 7 — consensus agree; Q55a median 7) and PSMA PET may serve as an ancillary test (Q19 median 8 — consensus agree).</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 both modalities have defined ancillary niches but must not replace quality-assured MRI at triage.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core template (Q53 median 3) and saturation biopsy (Q54 median 2) — all by consensus disagree.</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rated 'neither' (Q34 median 6) and the proposed minimum of 3 cores per target failed to reach consensus in both rounds (Q35, Q36), so the system reports core count as an open option rather than enforcing a fixed number.</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and scales the number of perilesional cores to lesion size (Q39 median 7 — consensus agree), with a maximum of 2 cores per large lesion (Q41 — SOQ consensus).</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For a unifocal lesion, ProBIOPSY endorses targeted + perilesional biopsy without contralateral systematic cores (Q43 median 7 — consensus agree) and bilateral targeted+perilesional schemes for multifocal bilateral disease (Q49 median 7 — consensus agree), while adding full systematic biopsy to a targeted+perilesional scheme is rejected (Q45 median 3 — consensus disagree).</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 whereas nerve sparing, whole-gland radiotherapy, focal boost and ADT-duration planning are adequately served by targeted+perilesional schemes (Q67, Q70, Q79, Q85, Q88, Q91, Q94 median 7-8).</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escalate the perioperative rule R11 — prefer the transperineal route and augmented prophylaxis when transrectal access is unavoidable.</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[43]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[44]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[45].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[46] of −0.09 reflects the known instability of κ under uneven category marginals at this sample size — the agreement paradox described by Feinstein and Cicchetti — rather than poor agreement [47].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[48];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[49] and LightRAG [43],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[50]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[47]),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[51,52]; (iii) extending the rule base to other guideline chapters (active surveillance, imaging follow-up) and emerging PSMA-PET–first pathways [53]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[54].</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43. Guo Z, Xia L, Yu Y, Ao T, Huang C. LightRAG: simple and fast retrieval-augmented generation. arXiv:2410.05779, 2024 (verified against arXiv listing).</w:t>
      </w:r>
    </w:p>
    <w:p>
      <w:pPr>
        <w:ind w:left="425" w:hanging="425"/>
      </w:pPr>
      <w:r>
        <w:rPr>
          <w:rFonts w:ascii="Times New Roman" w:hAnsi="Times New Roman"/>
          <w:b w:val="0"/>
          <w:i w:val="0"/>
        </w:rPr>
        <w:t>44. Cohen J. A Coefficient of Agreement for Nominal Scales. Educational and Psychological Measurement. 1960;20(1):37-46. https://doi.org/10.1177/001316446002000104</w:t>
      </w:r>
    </w:p>
    <w:p>
      <w:pPr>
        <w:ind w:left="425" w:hanging="425"/>
      </w:pPr>
      <w:r>
        <w:rPr>
          <w:rFonts w:ascii="Times New Roman" w:hAnsi="Times New Roman"/>
          <w:b w:val="0"/>
          <w:i w:val="0"/>
        </w:rPr>
        <w:t>45.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46. Fleiss JL. Measuring nominal scale agreement among many raters.. Psychological Bulletin. 1971;76(5):378-382. https://doi.org/10.1037/h0031619</w:t>
      </w:r>
    </w:p>
    <w:p>
      <w:pPr>
        <w:ind w:left="425" w:hanging="425"/>
      </w:pPr>
      <w:r>
        <w:rPr>
          <w:rFonts w:ascii="Times New Roman" w:hAnsi="Times New Roman"/>
          <w:b w:val="0"/>
          <w:i w:val="0"/>
        </w:rPr>
        <w:t>47.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48.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49. Edge D, Trinh H, Cheng N, et al. From local to global: a Graph RAG approach to query-focused summarization. arXiv:2404.16130, 2024 (verified via arXiv API).</w:t>
      </w:r>
    </w:p>
    <w:p>
      <w:pPr>
        <w:ind w:left="425" w:hanging="425"/>
      </w:pPr>
      <w:r>
        <w:rPr>
          <w:rFonts w:ascii="Times New Roman" w:hAnsi="Times New Roman"/>
          <w:b w:val="0"/>
          <w:i w:val="0"/>
        </w:rPr>
        <w:t>50.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51.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52.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53.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54.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54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