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249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is the gateway to every treatment decision in prostate cancer, yet the procedure remains poorly standardised: whom to biopsy, how, under which scheme and route varies widely between institutions. The stakes are asymmetric: under-biopsy misses clinically significant cancer, over-biopsy harms men with indolent disease, one strategy may not inform every treatment plan, and decisions diverge with the operator. The ProBIOPSY consensus codified this pathway into 112 statements, but a written consensus cannot be executed at the decision point. We asked whether it could be executed: a checklist stored in a computer, callable when needed, auditable afterwards.</w:t>
      </w:r>
    </w:p>
    <w:p>
      <w:r>
        <w:rPr>
          <w:rFonts w:ascii="Times New Roman" w:hAnsi="Times New Roman"/>
          <w:b/>
          <w:i w:val="0"/>
        </w:rPr>
        <w:t>Methods:</w:t>
      </w:r>
      <w:r>
        <w:rPr>
          <w:rFonts w:ascii="Times New Roman" w:hAnsi="Times New Roman"/>
          <w:b w:val="0"/>
          <w:i w:val="0"/>
        </w:rPr>
        <w:t xml:space="preserve"> Because large language models (LLMs) hallucinate and lack traceability, and retrieval-augmented generation (RAG) grounds answers but cannot forbid them, we developed QianLieAnHui — a three-layer agent executing the consensus as a checklist: (1) a deterministic rule engine (16 rules, cross-checked against EAU/AUA guidelines) emitting hard constraints; (2) retrieval over a LightRAG knowledge graph (357 chunks); (3) an LLM arbiter emitting one of five executable actions with statement-level citations. Benchmark: 2,240 runs (four architectures × five seeds × 112 statements, generator fixed).</w:t>
      </w:r>
    </w:p>
    <w:p>
      <w:r>
        <w:rPr>
          <w:rFonts w:ascii="Times New Roman" w:hAnsi="Times New Roman"/>
          <w:b/>
          <w:i w:val="0"/>
        </w:rPr>
        <w:t>Results:</w:t>
      </w:r>
      <w:r>
        <w:rPr>
          <w:rFonts w:ascii="Times New Roman" w:hAnsi="Times New Roman"/>
          <w:b w:val="0"/>
          <w:i w:val="0"/>
        </w:rPr>
        <w:t xml:space="preserve"> The agent achieved exact-5 accuracy 0.805±0.012, Cohen's κ 0.730±0.016, and against-class F1 0.908±0.023 — versus 0.613 for the strongest baseline — while retrieval baselines emitted the nuanced conditional class in 0.8% of runs (agent 17.0%); flagship generators did not rescue naive RAG (0.605→0.538).</w:t>
      </w:r>
    </w:p>
    <w:p>
      <w:r>
        <w:rPr>
          <w:rFonts w:ascii="Times New Roman" w:hAnsi="Times New Roman"/>
          <w:b/>
          <w:i w:val="0"/>
        </w:rPr>
        <w:t>Conclusions:</w:t>
      </w:r>
      <w:r>
        <w:rPr>
          <w:rFonts w:ascii="Times New Roman" w:hAnsi="Times New Roman"/>
          <w:b w:val="0"/>
          <w:i w:val="0"/>
        </w:rPr>
        <w:t xml:space="preserve"> Architecture, not generator tier, was the dominant lever: every output traces to numbered statements, turning a written consensus into standardised, auditable practice.</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Biopsy is the gateway to every treatment decision in prostate cancer. The disease is among the most common malignancies in men [1,2]; population-level PSA screening lowers disease-specific mortality [3]; and what the biopsy finds — grade group, tumour burden, distribution — determines whether a man is monitored, offered focal therapy, or scheduled for radical treatment. Yet the procedure that feeds these decisions is far from standardised. Whether systematic cores should be added to MRI-targeted cores [4], which saturation scheme to use [5], transperineal versus transrectal access [6,7], and targeted versus empirical prophylaxis [8] remain live questions — as does whether MRI-targeted sampling, which demonstrably improves clinically significant cancer detection [9-12], can inform every treatment option at all. Biopsy-to-prostatectomy grade discordance complicates downstream planning [13]; the measurements the pathway leans on are themselves imperfect — mpMRI misses clinically significant cancer in a minority of men [14], PI-RADS reading agreement [15,16] and image-quality gating [17] are variable, and PSA-density thresholds [18] temper but do not settle the decision; and every configuration carries the procedure's well-characterised complication burden [19,20]. The ProBIOPSY consensus documented substantial international practice variation across exactly these choices [21].</w:t>
      </w:r>
    </w:p>
    <w:p>
      <w:r>
        <w:rPr>
          <w:rFonts w:ascii="Times New Roman" w:hAnsi="Times New Roman"/>
          <w:b w:val="0"/>
          <w:i w:val="0"/>
        </w:rPr>
        <w:t>Written guidance has not closed these gaps. The EAU Prostate Cancer Guidelines [22], the AUA/ASTRO Clinically Localized Prostate Cancer Guideline [23] with its 2026 Amendment [24], and the ProBIOPSY consensus [21] converge on the same decision points. Yet a guideline is reference material, not an instrument: at the decision point the clinician must assemble 51 patient-scenario archetypes × 54 biopsy decisions, each combination carrying its own evidence, and no lookup table covers the combinatorics.</w:t>
      </w:r>
    </w:p>
    <w:p>
      <w:r>
        <w:rPr>
          <w:rFonts w:ascii="Times New Roman" w:hAnsi="Times New Roman"/>
          <w:b w:val="0"/>
          <w:i w:val="0"/>
        </w:rPr>
        <w:t xml:space="preserve">Software attempts fall short in complementary ways. Rule-based clinical decision support is deterministic but slow to update [25], breeds alert fatigue [26], and cannot digest natural-language evidence [27]. Large language models (LLMs) supply the missing linguistic flexibility [28,29] and approach expert performance on medical question answering [30,31], yet they hallucinate and lack verifiable provenance [32], drift from guidelines as they age [33], and give confidently generic advice where patient-specific context changes the answer. For example, asked "Should a 70-year-old man with locally advanced disease undergo extended systematic prostate biopsy?", a general-purpose LLM may respond: "Yes, extended 12-core systematic biopsy is the standard approach." Yet the consensus for suspected locally advanced disease actually recommends reducing systematic biopsy to a maximum of six cores. A rapidly growing family of domain agents — for atrial-fibrillation self-management [34], hypertension management [35], prostate-cancer education [36], knowledge-graph-grounded dietary recommendations [37], and gene-set analysis [38] — demonstrates that specialised medical AI is feasible, but none is benchmarked against a statement-level guideline gold standard, and all rely on prompt-level rather than binding safeguards. Retrieval-augmented generation (RAG) grounds generation in an external corpus [39] and medical RAG benchmarks show promise [40], but retrieval alone has no mechanism to </w:t>
      </w:r>
      <w:r>
        <w:rPr>
          <w:rFonts w:ascii="Times New Roman" w:hAnsi="Times New Roman"/>
          <w:b w:val="0"/>
          <w:i/>
        </w:rPr>
        <w:t>forbid</w:t>
      </w:r>
      <w:r>
        <w:rPr>
          <w:rFonts w:ascii="Times New Roman" w:hAnsi="Times New Roman"/>
          <w:b w:val="0"/>
          <w:i w:val="0"/>
        </w:rPr>
        <w:t xml:space="preserve"> a fluent recommendation that contradicts the guideline. What is needed is a system that combines the linguistic flexibility of LLMs, the traceable evidence chain of knowledge-graph retrieval, and the deterministic safety of hard constraints — each covering the others' failure modes.</w:t>
      </w:r>
    </w:p>
    <w:p>
      <w:r>
        <w:rPr>
          <w:rFonts w:ascii="Times New Roman" w:hAnsi="Times New Roman"/>
          <w:b w:val="0"/>
          <w:i w:val="0"/>
        </w:rPr>
        <w:t xml:space="preserve">QianLieAnHui is that checklist, realised as an agent. Its three layers map one-to-one onto the failure modes above. A deterministic rule engine can mechanically veto non-compliant outputs; knowledge-graph retrieval can expose a traceable evidence chain; an LLM arbiter can supply linguistic flexibility. Patient-factor escalation rules turn contextual safety guidance (route, prophylaxis intensity, scheme simplification) into deterministic hard constraints rather than prompt-level exhortations; MRI-quality and reader-variability caveats are represented as explicit scenario flags that both gate rules and boost retrieval; grade-group-driven treatment-planning statements anchor the largest statement domain; and the knowledge base's version integrity is machine-verified rather than assumed.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[41] — each layer covers the others' failure modes while preserving a complete audit trail from every output back to numbered consensus statements and evidence chunks. At the retrieval layer we adopt LightRAG [42], a graph-based dual-level retrieval framework that outperforms Microsoft GraphRAG [43]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agent — a machine-executable consensus checklist chaining deterministic rule hard constraints, LightRAG knowledge-graph retrieval, and LLM arbitration —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[21]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[44]);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[17]),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consensus: every prostate MRI must be checked against PI-QUAL v2 quality criteria before the biopsy pathway is decided (Q4a median 9, Q4b median 8 — consensus agree);</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when MRI is negative but clinical suspicion remains high (abnormal DRE, persistently elevated PSA, strong family history, Black ethnicity, prior negative biopsy), a 12-core systematic biopsy is still endorsed…</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'neither' (Q34 median 6), and the proposed minimum of 3 cores per target failed to reach consensus…</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scales th…</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targeted + perilesional biopsy without contralateral systematic cores for a unifocal lesion (Q43 median 7 — consensus agree) and for multifocal ipsilateral disease reaching bilateral tissue adequacy is…</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etc.) escalate the perioperative rule R11 — prefer the transperineal route and augmented prophylaxis…</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[42]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[22] and the AUA/ASTRO Clinically Localized Prostate Cancer Guideline [23] and its 2026 Amendment [24];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[45]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[46].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[47] of −0.09 reflects the known instability of κ under uneven category marginals at this sample size — the agreement paradox described by Feinstein and Cicchetti — rather than poor agreement [48].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[49]; for constrained, auditable decision support, however, our results indicate that decision architecture — not model capability — is the dominant lever. Medical RAG benchmarks such as MIRAGE [40]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[43] and LightRAG [42],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[38].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[22]; the AUA/ASTRO guideline and its 2026 Amendment converge on the same action-level recommendations for localized disease [23,24]. The underlying trial evidence is recent and consolidating — randomised evidence on transperineal access [6], an RCT meta-analysis across imaging-targeted and non-targeted settings [7], and targeted prophylaxis studies [8]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[16] is carried as explicit scenario flags; grade-discordance-aware treatment planning [13] is anchored by the largest statement domain; and the complication burden that motivates conservatism [50]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[48]),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[51,52]; (iii) extending the rule base to other guideline chapters (active surveillance, imaging follow-up) and emerging PSMA-PET–first pathways [53]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[54].</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1975914"/>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1975914"/>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2040320"/>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2040320"/>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231859"/>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231859"/>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5.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6.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7.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8.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9.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10.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11.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12.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13.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14.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15.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16.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17.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18.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19.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20.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21.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22.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23.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24.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Sha H, Gong F, Liu B, Liu R, Wang H, Wu T. Leveraging Retrieval-Augmented Large Language Models for Dietary Recommendations With Traditional Chinese Medicine’s Medicine Food Homology: Algorithm Development and Validation. JMIR Med Inform. 2025;13:e75279-e75279. https://doi.org/10.2196/75279</w:t>
      </w:r>
    </w:p>
    <w:p>
      <w:pPr>
        <w:ind w:left="425" w:hanging="425"/>
      </w:pPr>
      <w:r>
        <w:rPr>
          <w:rFonts w:ascii="Times New Roman" w:hAnsi="Times New Roman"/>
          <w:b w:val="0"/>
          <w:i w:val="0"/>
        </w:rPr>
        <w:t>38.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39.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40.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41.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42. Guo Z, Xia L, Yu Y, Ao T, Huang C. LightRAG: simple and fast retrieval-augmented generation. arXiv:2410.05779, 2024 (verified against arXiv listing).</w:t>
      </w:r>
    </w:p>
    <w:p>
      <w:pPr>
        <w:ind w:left="425" w:hanging="425"/>
      </w:pPr>
      <w:r>
        <w:rPr>
          <w:rFonts w:ascii="Times New Roman" w:hAnsi="Times New Roman"/>
          <w:b w:val="0"/>
          <w:i w:val="0"/>
        </w:rPr>
        <w:t>43. Edge D, Trinh H, Cheng N, et al. From local to global: a Graph RAG approach to query-focused summarization. arXiv:2404.16130, 2024 (verified via arXiv API).</w:t>
      </w:r>
    </w:p>
    <w:p>
      <w:pPr>
        <w:ind w:left="425" w:hanging="425"/>
      </w:pPr>
      <w:r>
        <w:rPr>
          <w:rFonts w:ascii="Times New Roman" w:hAnsi="Times New Roman"/>
          <w:b w:val="0"/>
          <w:i w:val="0"/>
        </w:rPr>
        <w:t>44.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45. Cohen J. A Coefficient of Agreement for Nominal Scales. Educational and Psychological Measurement. 1960;20(1):37-46. https://doi.org/10.1177/001316446002000104</w:t>
      </w:r>
    </w:p>
    <w:p>
      <w:pPr>
        <w:ind w:left="425" w:hanging="425"/>
      </w:pPr>
      <w:r>
        <w:rPr>
          <w:rFonts w:ascii="Times New Roman" w:hAnsi="Times New Roman"/>
          <w:b w:val="0"/>
          <w:i w:val="0"/>
        </w:rPr>
        <w:t>46.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47. Fleiss JL. Measuring nominal scale agreement among many raters.. Psychological Bulletin. 1971;76(5):378-382. https://doi.org/10.1037/h0031619</w:t>
      </w:r>
    </w:p>
    <w:p>
      <w:pPr>
        <w:ind w:left="425" w:hanging="425"/>
      </w:pPr>
      <w:r>
        <w:rPr>
          <w:rFonts w:ascii="Times New Roman" w:hAnsi="Times New Roman"/>
          <w:b w:val="0"/>
          <w:i w:val="0"/>
        </w:rPr>
        <w:t>48.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49.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50.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51.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52.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53.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54.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54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