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248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must weigh patient-specific MRI quality, biopsy scheme, route, prophylaxis, and treatment-planning needs. The ProBIOPSY consensus (112 final statements) codifies this pathway but is not an executable decision artifact. Large language models (LLMs) hallucinate and lack traceability; retrieval-augmented generation (RAG) mitigates hallucination but provides no deterministic safety guarantees.</w:t>
      </w:r>
    </w:p>
    <w:p>
      <w:r>
        <w:rPr>
          <w:rFonts w:ascii="Times New Roman" w:hAnsi="Times New Roman"/>
          <w:b/>
          <w:i w:val="0"/>
        </w:rPr>
        <w:t>Methods:</w:t>
      </w:r>
      <w:r>
        <w:rPr>
          <w:rFonts w:ascii="Times New Roman" w:hAnsi="Times New Roman"/>
          <w:b w:val="0"/>
          <w:i w:val="0"/>
        </w:rPr>
        <w:t xml:space="preserve"> We developed QianLieAnHui, a three-layer decision-support agent: (1) a deterministic rule engine (12 consensus + 4 patient-factor escalation rules, cross-checked against EAU and AUA/ASTRO guidelines) emitting hard constraints; (2) risk-guided retrieval over a LightRAG knowledge graph (357 evidence chunks, 1,864 entities, 3,078 relations, traceable to the consensus); (3) an LLM arbiter emitting one of five executable actions with statement-level citations. Four methods × five seeds × 112 statements (2,240 runs) were benchmarked under one fixed generator (GLM-5.3-Flash); baselines were re-run with flagship-tier GLM-5.3.</w:t>
      </w:r>
    </w:p>
    <w:p>
      <w:r>
        <w:rPr>
          <w:rFonts w:ascii="Times New Roman" w:hAnsi="Times New Roman"/>
          <w:b/>
          <w:i w:val="0"/>
        </w:rPr>
        <w:t>Results:</w:t>
      </w:r>
      <w:r>
        <w:rPr>
          <w:rFonts w:ascii="Times New Roman" w:hAnsi="Times New Roman"/>
          <w:b w:val="0"/>
          <w:i w:val="0"/>
        </w:rPr>
        <w:t xml:space="preserve"> The agent achieved exact-5 accuracy 0.805±0.012 (±SD over 5 seeds), Cohen's κ 0.730±0.016, and against-class F1 0.908±0.023, versus strongest baseline LightRAG-only (0.613, 0.536, 0.525, 0.881), naive RAG (0.605, 0.514, 0.512, 0.890), and pure LLM (0.304, 0.254, 0.079, 0.346); all differences significant (FDR-adjusted p ≤ 0.001). Retrieval baselines collapsed onto frequent classes (conditional: 0.8% of retrieval-baseline runs versus 17.0% for the agent). Upgrading the generator did not rescue naive RAG (0.605→0.538).</w:t>
      </w:r>
    </w:p>
    <w:p>
      <w:r>
        <w:rPr>
          <w:rFonts w:ascii="Times New Roman" w:hAnsi="Times New Roman"/>
          <w:b/>
          <w:i w:val="0"/>
        </w:rPr>
        <w:t>Conclusions:</w:t>
      </w:r>
      <w:r>
        <w:rPr>
          <w:rFonts w:ascii="Times New Roman" w:hAnsi="Times New Roman"/>
          <w:b w:val="0"/>
          <w:i w:val="0"/>
        </w:rPr>
        <w:t xml:space="preserve"> Fine-grained action-space competence must be built into the architecture—rule-level priors and hard constraints—not delegated to prompting or larger models. Architecture, not generator tier, was the dominant lever; every output traces to consensus statements and evidence chunks, supporting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reduces disease-specific mortality [3] and directs a diagnostic pathway whose cornerstone is biopsy [4]. The modern biopsy pathway extends far beyond a single "to biopsy or not" question: whether to add systematic cores to MRI-targeted cores [5], which saturation scheme to use [6], transperineal versus transrectal access — whose sepsis and pain trade-offs have now been quantified by a multicentre randomised trial and a meta-analysis of randomised trials [7,8] — anaesthesia and antimicrobial prophylaxis, where targeted versus empirical strategies measurably change post-biopsy sepsis risk [9], and whether the harvested tissue satisfies the demands of subsequent treatment planning, given the persistent biopsy-to-prostatectomy grade discordance [10]. These choices must all be weighed against patient-specific factors — PI-RADS grade [11], PSA density [12], MRI quality, prior negative biopsy, anticoagulation, urinary-tract-infection risk factors, prostate volume, and more — against the backdrop of a complication burden that is far from negligible [13,14], and as codified in the EAU Prostate Cancer Guidelines [15], the AUA/ASTRO Clinically Localized Prostate Cancer Guideline [16] with its 2026 Amendment [17], and the ProBIOPSY consensus [4]. This pathway rests on validated mpMRI diagnostic accuracy [18], tempered by moderate inter-reader agreement for PI-RADS version 2 [19], and on repeated demonstrations that MRI-targeted sampling improves clinically significant cancer detection [20-23]. The ProBIOPSY consensus, a multidisciplinary international effort published in 2026, codified this pathway into 112 final statements and documented substantial international practice variation [4].</w:t>
      </w:r>
    </w:p>
    <w:p>
      <w:r>
        <w:rPr>
          <w:rFonts w:ascii="Times New Roman" w:hAnsi="Times New Roman"/>
          <w:b w:val="0"/>
          <w:i w:val="0"/>
        </w:rPr>
        <w:t xml:space="preserve">Four operational pain points of this pathway motivate the present design. </w:t>
      </w:r>
      <w:r>
        <w:rPr>
          <w:rFonts w:ascii="Times New Roman" w:hAnsi="Times New Roman"/>
          <w:b/>
          <w:i w:val="0"/>
        </w:rPr>
        <w:t>(i) Contextual safety decisions that generic guidance cannot resolve.</w:t>
      </w:r>
      <w:r>
        <w:rPr>
          <w:rFonts w:ascii="Times New Roman" w:hAnsi="Times New Roman"/>
          <w:b w:val="0"/>
          <w:i w:val="0"/>
        </w:rPr>
        <w:t xml:space="preserve"> Prostate biopsy carries a well-characterised complication burden [24], and the correct route, prophylaxis intensity, and scheme depend on the individual patient's risk profile — the very decisions where one-size-fits-all advice fails and a shortcut to "no biopsy" or "always biopsy" is clinically unacceptable. </w:t>
      </w:r>
      <w:r>
        <w:rPr>
          <w:rFonts w:ascii="Times New Roman" w:hAnsi="Times New Roman"/>
          <w:b/>
          <w:i w:val="0"/>
        </w:rPr>
        <w:t>(ii) A combinatorial, non-executable evidence base.</w:t>
      </w:r>
      <w:r>
        <w:rPr>
          <w:rFonts w:ascii="Times New Roman" w:hAnsi="Times New Roman"/>
          <w:b w:val="0"/>
          <w:i w:val="0"/>
        </w:rPr>
        <w:t xml:space="preserve"> A consensus document or guideline is not an executable artifact: clinicians face a space of patient scenarios × biopsy decisions (51 scenario archetypes × 54 decision items in the registries developed here) that static lookup cannot cover. </w:t>
      </w:r>
      <w:r>
        <w:rPr>
          <w:rFonts w:ascii="Times New Roman" w:hAnsi="Times New Roman"/>
          <w:b/>
          <w:i w:val="0"/>
        </w:rPr>
        <w:t>(iii) Knowledge tools that decay or distract.</w:t>
      </w:r>
      <w:r>
        <w:rPr>
          <w:rFonts w:ascii="Times New Roman" w:hAnsi="Times New Roman"/>
          <w:b w:val="0"/>
          <w:i w:val="0"/>
        </w:rPr>
        <w:t xml:space="preserve"> Rule-based clinical decision support systems (CDSS) capture deterministic logic but are slow to update [25], contribute to alert fatigue [26], and struggle with natural-language evidence [27]. </w:t>
      </w:r>
      <w:r>
        <w:rPr>
          <w:rFonts w:ascii="Times New Roman" w:hAnsi="Times New Roman"/>
          <w:b/>
          <w:i w:val="0"/>
        </w:rPr>
        <w:t>(iv) Flexible-but-unreliable generation.</w:t>
      </w:r>
      <w:r>
        <w:rPr>
          <w:rFonts w:ascii="Times New Roman" w:hAnsi="Times New Roman"/>
          <w:b w:val="0"/>
          <w:i w:val="0"/>
        </w:rPr>
        <w:t xml:space="preserve"> Large language models (LLMs) promise flexible language understanding [28,29] and are approaching expert performance on medical question answering [30,31], yet carry well-documented risks in medicine — hallucination, unstable outputs, and unverifiable provenance [32] — and can diverge from clinical guidelines [33]. Domain-specific LLM agents are now emerging rapidly — for atrial-fibrillation patient self-management [34], suspected-hypertension management [35], prostate-cancer patient education [36], and gene-set analysis with self-verification [37] — yet these frameworks rely on retrieval and prompt-level reflection without deterministic safeguards, and none, to our knowledge, is evaluated against a statement-level guideline gold standard. RAG grounds generation in an external corpus [38], and medical RAG benchmarks show promise [39], but purely retrieval-based pipelines have no mechanism to </w:t>
      </w:r>
      <w:r>
        <w:rPr>
          <w:rFonts w:ascii="Times New Roman" w:hAnsi="Times New Roman"/>
          <w:b w:val="0"/>
          <w:i/>
        </w:rPr>
        <w:t>forbid</w:t>
      </w:r>
      <w:r>
        <w:rPr>
          <w:rFonts w:ascii="Times New Roman" w:hAnsi="Times New Roman"/>
          <w:b w:val="0"/>
          <w:i w:val="0"/>
        </w:rPr>
        <w:t xml:space="preserve"> a plausible-sounding recommendation that contradicts the guideline.</w:t>
      </w:r>
    </w:p>
    <w:p>
      <w:r>
        <w:rPr>
          <w:rFonts w:ascii="Times New Roman" w:hAnsi="Times New Roman"/>
          <w:b w:val="0"/>
          <w:i w:val="0"/>
        </w:rPr>
        <w:t xml:space="preserve">These failure modes are complementary — and each architectural layer is aimed at a specific pain point. A deterministic rule engine can mechanically veto non-compliant outputs; knowledge-graph retrieval can expose a traceable evidence chain; an LLM arbiter can supply linguistic flexibility. Patient-factor escalation rules turn contextual safety guidance (route, prophylaxis intensity, scheme simplification) into deterministic hard constraints rather than prompt-level exhortations; MRI-quality and reader-variability caveats are represented as explicit scenario flags that both gate rules and boost retrieval; grade-group-driven treatment-planning statements anchor the largest statement domain; and the knowledge base's version integrity is machine-verified rather than assumed.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[40] — each layer covers the others' failure modes while preserving a complete audit trail from every output back to numbered consensus statements and evidence chunks. At the retrieval layer we adopt LightRAG [41], a graph-based dual-level retrieval framework that outperforms Microsoft GraphRAG [42]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system chaining deterministic rule hard constraints, LightRAG knowledge-graph retrieval, and LLM arbitration,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[4]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[43]);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[44]),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consensus: every prostate MRI must be checked against PI-QUAL v2 quality criteria before the biopsy pathway is decided (Q4a median 9, Q4b median 8 — consensus agree);</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when MRI is negative but clinical suspicion remains high (abnormal DRE, persistently elevated PSA, strong family history, Black ethnicity, prior negative biopsy), a 12-core systematic biopsy is still endorsed…</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'neither' (Q34 median 6), and the proposed minimum of 3 cores per target failed to reach consensus…</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scales th…</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targeted + perilesional biopsy without contralateral systematic cores for a unifocal lesion (Q43 median 7 — consensus agree) and for multifocal ipsilateral disease reaching bilateral tissue adequacy is…</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etc.) escalate the perioperative rule R11 — prefer the transperineal route and augmented prophylaxis…</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[41]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[15] and the AUA/ASTRO Clinically Localized Prostate Cancer Guideline [16] and its 2026 Amendment [17];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[45]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[46].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[47] of −0.09 reflects the known instability of κ under uneven category marginals at this sample size — the agreement paradox described by Feinstein and Cicchetti — rather than poor agreement [48].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[49]; for constrained, auditable decision support, however, our results indicate that decision architecture — not model capability — is the dominant lever. Medical RAG benchmarks such as MIRAGE [39]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[42] and LightRAG [41],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[37].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[15]; the AUA/ASTRO guideline and its 2026 Amendment converge on the same action-level recommendations for localized disease [16,17]. The underlying trial evidence is recent and consolidating — randomised evidence on transperineal access [7], an RCT meta-analysis across imaging-targeted and non-targeted settings [8], and targeted prophylaxis studies [9]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[19] is carried as explicit scenario flags; grade-discordance-aware treatment planning [10] is anchored by the largest statement domain; and the complication burden that motivates conservatism [24]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[48]),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[50,51]; (iii) extending the rule base to other guideline chapters (active surveillance, imaging follow-up) and emerging PSMA-PET–first pathways [52]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[53].</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1975914"/>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1975914"/>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2040320"/>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2040320"/>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231859"/>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231859"/>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5.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6.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7.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8.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9.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10.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11.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12.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13.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14.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15.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16.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17.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18.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19.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20.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21.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22.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23.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24.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38.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39.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40.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41. Guo Z, Xia L, Yu Y, Ao T, Huang C. LightRAG: simple and fast retrieval-augmented generation. arXiv:2410.05779, 2024 (verified against arXiv listing).</w:t>
      </w:r>
    </w:p>
    <w:p>
      <w:pPr>
        <w:ind w:left="425" w:hanging="425"/>
      </w:pPr>
      <w:r>
        <w:rPr>
          <w:rFonts w:ascii="Times New Roman" w:hAnsi="Times New Roman"/>
          <w:b w:val="0"/>
          <w:i w:val="0"/>
        </w:rPr>
        <w:t>42. Edge D, Trinh H, Cheng N, et al. From local to global: a Graph RAG approach to query-focused summarization. arXiv:2404.16130, 2024 (verified via arXiv API).</w:t>
      </w:r>
    </w:p>
    <w:p>
      <w:pPr>
        <w:ind w:left="425" w:hanging="425"/>
      </w:pPr>
      <w:r>
        <w:rPr>
          <w:rFonts w:ascii="Times New Roman" w:hAnsi="Times New Roman"/>
          <w:b w:val="0"/>
          <w:i w:val="0"/>
        </w:rPr>
        <w:t>43.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44.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45. Cohen J. A Coefficient of Agreement for Nominal Scales. Educational and Psychological Measurement. 1960;20(1):37-46. https://doi.org/10.1177/001316446002000104</w:t>
      </w:r>
    </w:p>
    <w:p>
      <w:pPr>
        <w:ind w:left="425" w:hanging="425"/>
      </w:pPr>
      <w:r>
        <w:rPr>
          <w:rFonts w:ascii="Times New Roman" w:hAnsi="Times New Roman"/>
          <w:b w:val="0"/>
          <w:i w:val="0"/>
        </w:rPr>
        <w:t>46.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47. Fleiss JL. Measuring nominal scale agreement among many raters.. Psychological Bulletin. 1971;76(5):378-382. https://doi.org/10.1037/h0031619</w:t>
      </w:r>
    </w:p>
    <w:p>
      <w:pPr>
        <w:ind w:left="425" w:hanging="425"/>
      </w:pPr>
      <w:r>
        <w:rPr>
          <w:rFonts w:ascii="Times New Roman" w:hAnsi="Times New Roman"/>
          <w:b w:val="0"/>
          <w:i w:val="0"/>
        </w:rPr>
        <w:t>48.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49.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50.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51.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52.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53.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53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