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outlineLvl w:val="0"/>
      </w:pPr>
      <w:r>
        <w:rPr>
          <w:rFonts w:ascii="Times New Roman" w:hAnsi="Times New Roman" w:eastAsia="黑体"/>
          <w:b/>
          <w:sz w:val="30"/>
        </w:rPr>
        <w:t>前列安汇：规则引擎—知识图谱—LLM 仲裁混合决策支持系统在前列腺穿刺活检全流程中的开发与验证</w:t>
      </w:r>
    </w:p>
    <w:p>
      <w:pPr>
        <w:spacing w:line="480" w:lineRule="auto" w:before="0" w:after="0"/>
        <w:jc w:val="center"/>
      </w:pPr>
      <w:r>
        <w:rPr>
          <w:rFonts w:ascii="Times New Roman" w:hAnsi="Times New Roman" w:eastAsia="宋体"/>
          <w:b/>
          <w:sz w:val="24"/>
        </w:rPr>
        <w:t>Development and benchmark validation of QianLieAnHui (前列安汇), a hybrid rule-engine / knowledge-graph / LLM-arbitration decision-support system for the prostate biopsy pathway, against the ProBIOPSY international consensus</w:t>
      </w:r>
    </w:p>
    <w:p>
      <w:pPr>
        <w:spacing w:line="360" w:lineRule="auto" w:before="240" w:after="120"/>
        <w:outlineLvl w:val="1"/>
      </w:pPr>
      <w:r>
        <w:rPr>
          <w:rFonts w:ascii="Times New Roman" w:hAnsi="Times New Roman" w:eastAsia="黑体"/>
          <w:b/>
          <w:sz w:val="28"/>
        </w:rPr>
        <w:t>作者</w:t>
      </w:r>
    </w:p>
    <w:p>
      <w:pPr>
        <w:spacing w:line="480" w:lineRule="auto" w:before="0" w:after="0"/>
        <w:ind w:firstLine="480"/>
      </w:pPr>
      <w:r>
        <w:rPr>
          <w:rFonts w:ascii="Times New Roman" w:hAnsi="Times New Roman" w:eastAsia="宋体"/>
          <w:b w:val="0"/>
          <w:sz w:val="24"/>
        </w:rPr>
        <w:t>徐泽坤</w:t>
      </w:r>
      <w:r>
        <w:rPr>
          <w:rFonts w:ascii="Times New Roman" w:hAnsi="Times New Roman" w:eastAsia="宋体"/>
          <w:b w:val="0"/>
          <w:sz w:val="24"/>
          <w:vertAlign w:val="superscript"/>
        </w:rPr>
        <w:t>1,*</w:t>
      </w:r>
    </w:p>
    <w:p>
      <w:pPr>
        <w:spacing w:line="480" w:lineRule="auto" w:before="0" w:after="0"/>
        <w:ind w:firstLine="480"/>
      </w:pPr>
      <w:r>
        <w:rPr>
          <w:rFonts w:ascii="Times New Roman" w:hAnsi="Times New Roman" w:eastAsia="宋体"/>
          <w:b w:val="0"/>
          <w:sz w:val="24"/>
          <w:vertAlign w:val="superscript"/>
        </w:rPr>
        <w:t>1</w:t>
      </w:r>
      <w:r>
        <w:rPr>
          <w:rFonts w:ascii="Times New Roman" w:hAnsi="Times New Roman" w:eastAsia="宋体"/>
          <w:b w:val="0"/>
          <w:sz w:val="24"/>
        </w:rPr>
        <w:t>泌尿外科，浙江大学附属金华医院；</w:t>
      </w:r>
      <w:r>
        <w:rPr>
          <w:rFonts w:ascii="Times New Roman" w:hAnsi="Times New Roman" w:eastAsia="宋体"/>
          <w:b w:val="0"/>
          <w:sz w:val="24"/>
          <w:vertAlign w:val="superscript"/>
        </w:rPr>
        <w:t>*</w:t>
      </w:r>
      <w:r>
        <w:rPr>
          <w:rFonts w:ascii="Times New Roman" w:hAnsi="Times New Roman" w:eastAsia="宋体"/>
          <w:b w:val="0"/>
          <w:sz w:val="24"/>
        </w:rPr>
        <w:t>通讯作者：xuzekunurology@163.com</w:t>
      </w:r>
    </w:p>
    <w:p>
      <w:pPr>
        <w:spacing w:line="360" w:lineRule="auto" w:before="240" w:after="120"/>
        <w:outlineLvl w:val="1"/>
      </w:pPr>
      <w:r>
        <w:rPr>
          <w:rFonts w:ascii="Times New Roman" w:hAnsi="Times New Roman" w:eastAsia="黑体"/>
          <w:b/>
          <w:sz w:val="28"/>
        </w:rPr>
        <w:t>结构化摘要</w:t>
      </w:r>
    </w:p>
    <w:p>
      <w:pPr>
        <w:spacing w:line="480" w:lineRule="auto" w:before="0" w:after="0"/>
        <w:ind w:firstLine="480"/>
      </w:pPr>
      <w:r>
        <w:rPr>
          <w:rFonts w:ascii="Times New Roman" w:hAnsi="Times New Roman" w:eastAsia="宋体"/>
          <w:b/>
          <w:sz w:val="24"/>
        </w:rPr>
        <w:t>背景</w:t>
      </w:r>
      <w:r>
        <w:rPr>
          <w:rFonts w:ascii="Times New Roman" w:hAnsi="Times New Roman" w:eastAsia="宋体"/>
          <w:b w:val="0"/>
          <w:sz w:val="24"/>
        </w:rPr>
        <w:t xml:space="preserve"> 前列腺穿刺活检决策涉及影像质量、穿刺方案、入路、围术期预防与治疗规划衔接的多因素权衡；国际共识（ProBIOPSY，112 条终版陈述）以文本形式存在，无法直接执行。大语言模型（LLM）灵活但存在幻觉与不可溯源性，检索增强生成（RAG）可缓解但缺乏确定性安全约束。</w:t>
      </w:r>
    </w:p>
    <w:p>
      <w:pPr>
        <w:spacing w:line="480" w:lineRule="auto" w:before="0" w:after="0"/>
        <w:ind w:firstLine="480"/>
      </w:pPr>
      <w:r>
        <w:rPr>
          <w:rFonts w:ascii="Times New Roman" w:hAnsi="Times New Roman" w:eastAsia="宋体"/>
          <w:b/>
          <w:sz w:val="24"/>
        </w:rPr>
        <w:t>方法</w:t>
      </w:r>
      <w:r>
        <w:rPr>
          <w:rFonts w:ascii="Times New Roman" w:hAnsi="Times New Roman" w:eastAsia="宋体"/>
          <w:b w:val="0"/>
          <w:sz w:val="24"/>
        </w:rPr>
        <w:t xml:space="preserve"> 我们开发前列安汇：确定性规则引擎（12 条共识规则 + 4 条患者因素升级，输出硬约束）→ 风险引导的 LightRAG 知识图谱检索（357 个证据块、1,864 实体、3,078 关系，全部溯源自共识文本与参考文献）→ LLM 仲裁（输出五类动作：endorse / endorse_option / conditional / report_option / against，含置信度与 Q 编号引用链）。患者教育模式复用同一冻结证据库，叠加 10 条逐项可溯源的教育事实库，面向患者与家属提供通俗语言咨询。以 112 条共识终版陈述为金标准，在统一生成器（GLM-5.3-Flash）条件下进行 4 方法 × 5 种子 × 112 陈述 = 2,240 次运行的基准评测；另以 GLM-5.3 旗舰档重跑基线（1,120 次）检验生成器档位的影响。</w:t>
      </w:r>
    </w:p>
    <w:p>
      <w:pPr>
        <w:spacing w:line="480" w:lineRule="auto" w:before="0" w:after="0"/>
        <w:ind w:firstLine="480"/>
      </w:pPr>
      <w:r>
        <w:rPr>
          <w:rFonts w:ascii="Times New Roman" w:hAnsi="Times New Roman" w:eastAsia="宋体"/>
          <w:b/>
          <w:sz w:val="24"/>
        </w:rPr>
        <w:t>结果</w:t>
      </w:r>
      <w:r>
        <w:rPr>
          <w:rFonts w:ascii="Times New Roman" w:hAnsi="Times New Roman" w:eastAsia="宋体"/>
          <w:b w:val="0"/>
          <w:sz w:val="24"/>
        </w:rPr>
        <w:t xml:space="preserve"> 完整系统 exact5 = 0.805±0.012、macro-F1 = 0.825、κ = 0.730±0.016、against-F1 = 0.908（specificity 0.986），显著优于 lightrag-only（0.613 / 0.536 / 0.525 / 0.881）、naive_rag（0.605 / 0.514 / 0.512 / 0.890）与 pure_llm（0.304 / 0.254 / 0.079 / 0.346）。基线在细粒度类别上塌缩为高频类：conditional 在 1,120 次基线运行中仅被主动输出 9 次（0.8%），而完整系统为 17.0%。更换更强生成器后 naive_rag exact5 反而下降（0.605→0.538）。</w:t>
      </w:r>
    </w:p>
    <w:p>
      <w:pPr>
        <w:spacing w:line="480" w:lineRule="auto" w:before="0" w:after="0"/>
        <w:ind w:firstLine="480"/>
      </w:pPr>
      <w:r>
        <w:rPr>
          <w:rFonts w:ascii="Times New Roman" w:hAnsi="Times New Roman" w:eastAsia="宋体"/>
          <w:b/>
          <w:sz w:val="24"/>
        </w:rPr>
        <w:t>结论</w:t>
      </w:r>
      <w:r>
        <w:rPr>
          <w:rFonts w:ascii="Times New Roman" w:hAnsi="Times New Roman" w:eastAsia="宋体"/>
          <w:b w:val="0"/>
          <w:sz w:val="24"/>
        </w:rPr>
        <w:t xml:space="preserve"> 在医学决策支持系统中，细粒度临床动作空间的表达能力必须内建于架构（规则硬约束 + 类别先验），而非依赖提示词或更大模型。架构差异，而非模型档位，是性能的主要杠杆；系统输出全程可溯源至共识陈述与证据块，支持临床治理审计；同一证据链亦支撑患者教育模式，以通俗语言提供可审计的患者咨询（定性演示，未纳入基准评测）。</w:t>
      </w:r>
    </w:p>
    <w:p>
      <w:pPr>
        <w:spacing w:line="480" w:lineRule="auto" w:before="0" w:after="0"/>
        <w:ind w:firstLine="480"/>
      </w:pPr>
      <w:r>
        <w:rPr>
          <w:rFonts w:ascii="Times New Roman" w:hAnsi="Times New Roman" w:eastAsia="宋体"/>
          <w:b/>
          <w:sz w:val="24"/>
        </w:rPr>
        <w:t>关键词</w:t>
      </w:r>
      <w:r>
        <w:rPr>
          <w:rFonts w:ascii="Times New Roman" w:hAnsi="Times New Roman" w:eastAsia="宋体"/>
          <w:b w:val="0"/>
          <w:sz w:val="24"/>
        </w:rPr>
        <w:t xml:space="preserve"> 前列腺癌；穿刺活检；临床决策支持系统；知识图谱；LightRAG；检索增强生成；大语言模型；国际共识；ProBIOPSY</w:t>
      </w:r>
    </w:p>
    <w:p>
      <w:pPr>
        <w:spacing w:line="360" w:lineRule="auto" w:before="240" w:after="120"/>
        <w:jc w:val="center"/>
        <w:outlineLvl w:val="0"/>
      </w:pPr>
      <w:r>
        <w:rPr>
          <w:rFonts w:ascii="Times New Roman" w:hAnsi="Times New Roman" w:eastAsia="黑体"/>
          <w:b/>
          <w:sz w:val="30"/>
        </w:rPr>
        <w:t>引言 (Introduction)</w:t>
      </w:r>
    </w:p>
    <w:p>
      <w:pPr>
        <w:spacing w:line="480" w:lineRule="auto" w:before="0" w:after="0"/>
        <w:ind w:firstLine="480"/>
      </w:pPr>
      <w:r>
        <w:rPr>
          <w:rFonts w:ascii="Times New Roman" w:hAnsi="Times New Roman" w:eastAsia="宋体"/>
          <w:b w:val="0"/>
          <w:sz w:val="24"/>
        </w:rPr>
        <w:t>穿刺活检的当代目标是一个三难权衡：提高临床显著前列腺癌（clinically significant prostate cancer, csPCa）的检出、控制穿刺相关并发症、避免对低获益人群的过度穿刺。三项指标此消彼长，而穿刺本身又是多步骤、高度依赖术者主观判断的过程：系统穿刺与 MRI 靶向穿刺如何组合、是否饱和、经会阴抑或经直肠入路，目前均无唯一答案。ProBIOPSY 国际共识对这些决策点逐一表决，同时记录了各国各中心间显著的实践差异（Chernysheva 等，Eur Urol 2026）[1]。标准化的缺口是真实的，而且精确地落在每一个决策点上。</w:t>
      </w:r>
    </w:p>
    <w:p>
      <w:pPr>
        <w:spacing w:line="480" w:lineRule="auto" w:before="0" w:after="0"/>
        <w:ind w:firstLine="480"/>
      </w:pPr>
      <w:r>
        <w:rPr>
          <w:rFonts w:ascii="Times New Roman" w:hAnsi="Times New Roman" w:eastAsia="宋体"/>
          <w:b w:val="0"/>
          <w:sz w:val="24"/>
        </w:rPr>
        <w:t>患者侧的困难同样制约着穿刺路径的效率。医疗资源分布不均、部分患者缺少可靠的信息渠道、健康素养参差不齐，使一部分本应尽快穿刺的可疑前列腺癌患者在"建议"与"治疗"之间滞留。此时患者面临双重不利：疾病本身带来高度的不确定与脆弱，而支撑决策的关键信息，即穿刺为什么必要、报告如何解读、下一步意味着什么，又以专业语言写成。弥合这一鸿沟的常规途径是医患沟通，但这类对话耗时且难以计价，在紧凑的门诊议程中经常让位于优先级更高的诊疗任务；当医疗资源紧张时，它往往第一个被划去。结果是：最终承担决策的患者，得不到与决策相称的教育支持。</w:t>
      </w:r>
    </w:p>
    <w:p>
      <w:pPr>
        <w:spacing w:line="480" w:lineRule="auto" w:before="0" w:after="0"/>
        <w:ind w:firstLine="480"/>
      </w:pPr>
      <w:r>
        <w:rPr>
          <w:rFonts w:ascii="Times New Roman" w:hAnsi="Times New Roman" w:eastAsia="宋体"/>
          <w:b w:val="0"/>
          <w:sz w:val="24"/>
        </w:rPr>
        <w:t>新兴证据显示，大语言模型能够就前列腺穿刺活检与前列腺癌相关问题给出高质量、具备临床相关性的回答（如基于电子病历系统个性化前列腺癌患者教育的 LLM 智能体研究 [12]）。但放到患者教育这一具体任务上，通用 LLM 存在四重落差 [5-7]：知识可能失真（幻觉），结论无法回溯到指南原文（不可溯源），语言对非专业读者不够友好（可读性），输出随提问方式波动（不稳定）。这些落差无法靠提示词修补，需要架构级对策：确定性约束防止越界输出，检索使结论可回溯，生成提示控制语言层级并明确安全边界。</w:t>
      </w:r>
    </w:p>
    <w:p>
      <w:pPr>
        <w:spacing w:line="480" w:lineRule="auto" w:before="0" w:after="0"/>
        <w:ind w:firstLine="480"/>
      </w:pPr>
      <w:r>
        <w:rPr>
          <w:rFonts w:ascii="Times New Roman" w:hAnsi="Times New Roman" w:eastAsia="宋体"/>
          <w:b w:val="0"/>
          <w:sz w:val="24"/>
        </w:rPr>
        <w:t>为弥合上述双重缺口，本研究基于 ProBIOPSY 国际共识（112 条最终陈述）[1] 构建了前列安汇（QianLieAnHui）决策支持智能体。系统由三层串联而成：16 条确定性规则（与 EAU、AUA/ASTRO 指南交叉核对）在机制上禁止与共识相悖的输出；LightRAG [10] 知识图谱与词法证据库构成双层检索，使每条建议都能回溯到编号证据；GLM 仲裁器在硬约束解码下输出五类可执行动作之一，并附陈述级引用。患者教育模式复用同一冻结证据基座，将患者提问与十条逐项可溯源的策展事实匹配，以通俗语言生成包含"何时须就医"安全提示的回答，并将患者引导回其主管医生。设计目标不是替代沟通，而是把重复性的解释工作从临床时间中卸载，把共同决策的时间留给真正需要权衡的决策；这对健康素养有限的患者尤为重要。</w:t>
      </w:r>
    </w:p>
    <w:p>
      <w:pPr>
        <w:spacing w:line="480" w:lineRule="auto" w:before="0" w:after="0"/>
        <w:ind w:firstLine="480"/>
      </w:pPr>
      <w:r>
        <w:rPr>
          <w:rFonts w:ascii="Times New Roman" w:hAnsi="Times New Roman" w:eastAsia="宋体"/>
          <w:b w:val="0"/>
          <w:sz w:val="24"/>
        </w:rPr>
        <w:t>系统价值经两条独立线索初步验证：在 2,240 次运行的基准（4 种架构 × 5 个随机种子 × 112 条陈述）中，细粒度裁决准确率 exact-5 0.805±0.012、Cohen's κ 0.730、against-F1 0.908，较最强基线高 19.2 个百分点；患者教育模式经三例真实咨询完成定性演示（详见结果部分与补充材料 S7）。</w:t>
      </w:r>
    </w:p>
    <w:p>
      <w:pPr>
        <w:spacing w:line="360" w:lineRule="auto" w:before="240" w:after="120"/>
        <w:outlineLvl w:val="1"/>
      </w:pPr>
      <w:r>
        <w:rPr>
          <w:rFonts w:ascii="Times New Roman" w:hAnsi="Times New Roman" w:eastAsia="黑体"/>
          <w:b/>
          <w:sz w:val="28"/>
        </w:rPr>
        <w:t>参考文献</w:t>
      </w:r>
    </w:p>
    <w:p>
      <w:pPr>
        <w:spacing w:line="480" w:lineRule="auto" w:before="0" w:after="0"/>
      </w:pPr>
      <w:r>
        <w:rPr>
          <w:rFonts w:ascii="Times New Roman" w:hAnsi="Times New Roman" w:eastAsia="宋体"/>
          <w:b w:val="0"/>
          <w:sz w:val="24"/>
        </w:rPr>
        <w:t>1. Chernysheva D, Di Bello F, Avesani G, et al. ProBIOPSY: A Multidisciplinary International Consensus on Standards for Prostate Biopsy. Eur Urol 2026;90(3):212–224. DOI: 10.1016/j.eururo.2026.06.012</w:t>
      </w:r>
    </w:p>
    <w:p>
      <w:pPr>
        <w:spacing w:line="480" w:lineRule="auto" w:before="0" w:after="0"/>
      </w:pPr>
      <w:r>
        <w:rPr>
          <w:rFonts w:ascii="Times New Roman" w:hAnsi="Times New Roman" w:eastAsia="宋体"/>
          <w:b w:val="0"/>
          <w:sz w:val="24"/>
        </w:rPr>
        <w:t>2. European Association of Urology. EAU Guidelines on Prostate Cancer. Arnhem: EAU; 2026. https://uroweb.org/guidelines/prostate-cancer</w:t>
      </w:r>
    </w:p>
    <w:p>
      <w:pPr>
        <w:spacing w:line="480" w:lineRule="auto" w:before="0" w:after="0"/>
      </w:pPr>
      <w:r>
        <w:rPr>
          <w:rFonts w:ascii="Times New Roman" w:hAnsi="Times New Roman" w:eastAsia="宋体"/>
          <w:b w:val="0"/>
          <w:sz w:val="24"/>
        </w:rPr>
        <w:t>3. Weinreb JC, Barentsz JO, Choyke PL, et al. PI-RADS Prostate Imaging — Reporting and Data System: Version 2.1: 2019. Eur Urol 2019;76:340-51. DOI: 10.1016/j.eururo.2019.02.033</w:t>
      </w:r>
    </w:p>
    <w:p>
      <w:pPr>
        <w:spacing w:line="480" w:lineRule="auto" w:before="0" w:after="0"/>
      </w:pPr>
      <w:r>
        <w:rPr>
          <w:rFonts w:ascii="Times New Roman" w:hAnsi="Times New Roman" w:eastAsia="宋体"/>
          <w:b w:val="0"/>
          <w:sz w:val="24"/>
        </w:rPr>
        <w:t>4. Sutton RT, et al. An overview of clinical decision support systems: benefits, risks, and strategies for success. NPJ Digit Med 2020;3:17. DOI: 10.1038/s41746-020-0221-y</w:t>
      </w:r>
    </w:p>
    <w:p>
      <w:pPr>
        <w:spacing w:line="480" w:lineRule="auto" w:before="0" w:after="0"/>
      </w:pPr>
      <w:r>
        <w:rPr>
          <w:rFonts w:ascii="Times New Roman" w:hAnsi="Times New Roman" w:eastAsia="宋体"/>
          <w:b w:val="0"/>
          <w:sz w:val="24"/>
        </w:rPr>
        <w:t>5. Thirunavukarasu AJ, et al. Large language models in medicine. Nat Med 2023;29:1930-40. DOI: 10.1038/s41591-023-02448-8</w:t>
      </w:r>
    </w:p>
    <w:p>
      <w:pPr>
        <w:spacing w:line="480" w:lineRule="auto" w:before="0" w:after="0"/>
      </w:pPr>
      <w:r>
        <w:rPr>
          <w:rFonts w:ascii="Times New Roman" w:hAnsi="Times New Roman" w:eastAsia="宋体"/>
          <w:b w:val="0"/>
          <w:sz w:val="24"/>
        </w:rPr>
        <w:t>6. Singhal K, et al. Large language models encode clinical knowledge. Nature 2023;620:172-80. DOI: 10.1038/s41586-023-06291-2</w:t>
      </w:r>
    </w:p>
    <w:p>
      <w:pPr>
        <w:spacing w:line="480" w:lineRule="auto" w:before="0" w:after="0"/>
      </w:pPr>
      <w:r>
        <w:rPr>
          <w:rFonts w:ascii="Times New Roman" w:hAnsi="Times New Roman" w:eastAsia="宋体"/>
          <w:b w:val="0"/>
          <w:sz w:val="24"/>
        </w:rPr>
        <w:t>7. Ji Z, et al. Survey of hallucination in natural language generation. ACM Comput Surv 2023;55(12):248. DOI: 10.1145/3571730</w:t>
      </w:r>
    </w:p>
    <w:p>
      <w:pPr>
        <w:spacing w:line="480" w:lineRule="auto" w:before="0" w:after="0"/>
      </w:pPr>
      <w:r>
        <w:rPr>
          <w:rFonts w:ascii="Times New Roman" w:hAnsi="Times New Roman" w:eastAsia="宋体"/>
          <w:b w:val="0"/>
          <w:sz w:val="24"/>
        </w:rPr>
        <w:t>8. Lewis P, et al. Retrieval-augmented generation for knowledge-intensive NLP tasks. NeurIPS 2020;33:9459-74.</w:t>
      </w:r>
    </w:p>
    <w:p>
      <w:pPr>
        <w:spacing w:line="480" w:lineRule="auto" w:before="0" w:after="0"/>
      </w:pPr>
      <w:r>
        <w:rPr>
          <w:rFonts w:ascii="Times New Roman" w:hAnsi="Times New Roman" w:eastAsia="宋体"/>
          <w:b w:val="0"/>
          <w:sz w:val="24"/>
        </w:rPr>
        <w:t>9. Xiong G, Jin Q, Lu Z, Zhang A. Benchmarking retrieval-augmented generation for medicine (MIRAGE). Findings of ACL 2024:633-54. DOI: 10.18653/v1/2024.findings-acl.37</w:t>
      </w:r>
    </w:p>
    <w:p>
      <w:pPr>
        <w:spacing w:line="480" w:lineRule="auto" w:before="0" w:after="0"/>
      </w:pPr>
      <w:r>
        <w:rPr>
          <w:rFonts w:ascii="Times New Roman" w:hAnsi="Times New Roman" w:eastAsia="宋体"/>
          <w:b w:val="0"/>
          <w:sz w:val="24"/>
        </w:rPr>
        <w:t>10. Guo Z, Xia L, Yu Y, Ao T, Huang C. LightRAG: Simple and Fast Retrieval-Augmented Generation. arXiv:2410.05779 (2024).</w:t>
      </w:r>
    </w:p>
    <w:p>
      <w:pPr>
        <w:spacing w:line="480" w:lineRule="auto" w:before="0" w:after="0"/>
      </w:pPr>
      <w:r>
        <w:rPr>
          <w:rFonts w:ascii="Times New Roman" w:hAnsi="Times New Roman" w:eastAsia="宋体"/>
          <w:b w:val="0"/>
          <w:sz w:val="24"/>
        </w:rPr>
        <w:t>11. Edge D, et al. From Local to Global: A Graph RAG Approach to Query-Focused Summarization. arXiv:2404.16130 (2024).</w:t>
      </w:r>
    </w:p>
    <w:p>
      <w:pPr>
        <w:spacing w:line="480" w:lineRule="auto" w:before="0" w:after="0"/>
      </w:pPr>
      <w:r>
        <w:rPr>
          <w:rFonts w:ascii="Times New Roman" w:hAnsi="Times New Roman" w:eastAsia="宋体"/>
          <w:b w:val="0"/>
          <w:sz w:val="24"/>
        </w:rPr>
        <w:t>12. Hao Y, Holmes J, Waddle MR, et al. Personalizing prostate cancer education for patients using an EHR-integrated LLM agent. npj Digit Med 2025;8:770. DOI: 10.1038/s41746-025-02166-0</w:t>
      </w:r>
    </w:p>
    <w:p>
      <w:pPr>
        <w:spacing w:line="360" w:lineRule="auto" w:before="240" w:after="120"/>
        <w:jc w:val="center"/>
        <w:outlineLvl w:val="0"/>
      </w:pPr>
      <w:r>
        <w:rPr>
          <w:rFonts w:ascii="Times New Roman" w:hAnsi="Times New Roman" w:eastAsia="黑体"/>
          <w:b/>
          <w:sz w:val="30"/>
        </w:rPr>
        <w:t>方法 (Methods)</w:t>
      </w:r>
    </w:p>
    <w:p>
      <w:pPr>
        <w:spacing w:line="360" w:lineRule="auto" w:before="240" w:after="120"/>
        <w:outlineLvl w:val="1"/>
      </w:pPr>
      <w:r>
        <w:rPr>
          <w:rFonts w:ascii="Times New Roman" w:hAnsi="Times New Roman" w:eastAsia="黑体"/>
          <w:b/>
          <w:sz w:val="28"/>
        </w:rPr>
        <w:t>研究设计与伦理</w:t>
      </w:r>
    </w:p>
    <w:p>
      <w:pPr>
        <w:spacing w:line="480" w:lineRule="auto" w:before="0" w:after="0"/>
        <w:ind w:firstLine="480"/>
      </w:pPr>
      <w:r>
        <w:rPr>
          <w:rFonts w:ascii="Times New Roman" w:hAnsi="Times New Roman" w:eastAsia="宋体"/>
          <w:b w:val="0"/>
          <w:sz w:val="24"/>
        </w:rPr>
        <w:t>本研究为系统开发与基准验证研究（development and benchmark validation study），不涉及人类受试者、患者数据或生物样本：知识库语料仅来自公开出版的 ProBIOPSY 国际共识及其补充材料，验证金标准为该共识 112 条终版陈述（final statements），演示病例为研究团队构造的合成临床情境。研究无需伦理委员会审批（Planner 阶段已按 IRB 评估流程确认并留档）。</w:t>
      </w:r>
    </w:p>
    <w:p>
      <w:pPr>
        <w:spacing w:line="360" w:lineRule="auto" w:before="240" w:after="120"/>
        <w:outlineLvl w:val="1"/>
      </w:pPr>
      <w:r>
        <w:rPr>
          <w:rFonts w:ascii="Times New Roman" w:hAnsi="Times New Roman" w:eastAsia="黑体"/>
          <w:b/>
          <w:sz w:val="28"/>
        </w:rPr>
        <w:t>验证集：ProBIOPSY 共识 112 条终版陈述</w:t>
      </w:r>
    </w:p>
    <w:p>
      <w:pPr>
        <w:spacing w:line="480" w:lineRule="auto" w:before="0" w:after="0"/>
        <w:ind w:firstLine="480"/>
      </w:pPr>
      <w:r>
        <w:rPr>
          <w:rFonts w:ascii="Times New Roman" w:hAnsi="Times New Roman" w:eastAsia="宋体"/>
          <w:b w:val="0"/>
          <w:sz w:val="24"/>
        </w:rPr>
        <w:t>以 ProBIOPSY 共识（European Urology 2026）全部 112 条终版陈述为金标准。每条陈述按预先定义的五类动作体系标注期望系统行为（expected system action）：</w:t>
      </w:r>
    </w:p>
    <w:p>
      <w:pPr>
        <w:pStyle w:val="ListBullet"/>
        <w:spacing w:line="480" w:lineRule="auto"/>
      </w:pPr>
      <w:r>
        <w:rPr>
          <w:rFonts w:ascii="Times New Roman" w:hAnsi="Times New Roman" w:eastAsia="宋体"/>
          <w:b/>
          <w:sz w:val="24"/>
        </w:rPr>
        <w:t>endorse</w:t>
      </w:r>
      <w:r>
        <w:rPr>
          <w:rFonts w:ascii="Times New Roman" w:hAnsi="Times New Roman" w:eastAsia="宋体"/>
          <w:b w:val="0"/>
          <w:sz w:val="24"/>
        </w:rPr>
        <w:t>：直接支持该陈述；</w:t>
      </w:r>
    </w:p>
    <w:p>
      <w:pPr>
        <w:pStyle w:val="ListBullet"/>
        <w:spacing w:line="480" w:lineRule="auto"/>
      </w:pPr>
      <w:r>
        <w:rPr>
          <w:rFonts w:ascii="Times New Roman" w:hAnsi="Times New Roman" w:eastAsia="宋体"/>
          <w:b/>
          <w:sz w:val="24"/>
        </w:rPr>
        <w:t>endorse_option</w:t>
      </w:r>
      <w:r>
        <w:rPr>
          <w:rFonts w:ascii="Times New Roman" w:hAnsi="Times New Roman" w:eastAsia="宋体"/>
          <w:b w:val="0"/>
          <w:sz w:val="24"/>
        </w:rPr>
        <w:t>：将其作为可接受选项之一支持（存在并列可选方案）；</w:t>
      </w:r>
    </w:p>
    <w:p>
      <w:pPr>
        <w:pStyle w:val="ListBullet"/>
        <w:spacing w:line="480" w:lineRule="auto"/>
      </w:pPr>
      <w:r>
        <w:rPr>
          <w:rFonts w:ascii="Times New Roman" w:hAnsi="Times New Roman" w:eastAsia="宋体"/>
          <w:b/>
          <w:sz w:val="24"/>
        </w:rPr>
        <w:t>conditional</w:t>
      </w:r>
      <w:r>
        <w:rPr>
          <w:rFonts w:ascii="Times New Roman" w:hAnsi="Times New Roman" w:eastAsia="宋体"/>
          <w:b w:val="0"/>
          <w:sz w:val="24"/>
        </w:rPr>
        <w:t>：在指定条件下支持；</w:t>
      </w:r>
    </w:p>
    <w:p>
      <w:pPr>
        <w:pStyle w:val="ListBullet"/>
        <w:spacing w:line="480" w:lineRule="auto"/>
      </w:pPr>
      <w:r>
        <w:rPr>
          <w:rFonts w:ascii="Times New Roman" w:hAnsi="Times New Roman" w:eastAsia="宋体"/>
          <w:b/>
          <w:sz w:val="24"/>
        </w:rPr>
        <w:t>report_option</w:t>
      </w:r>
      <w:r>
        <w:rPr>
          <w:rFonts w:ascii="Times New Roman" w:hAnsi="Times New Roman" w:eastAsia="宋体"/>
          <w:b w:val="0"/>
          <w:sz w:val="24"/>
        </w:rPr>
        <w:t>：作为可选路径在报告中呈现，不做主动推荐；</w:t>
      </w:r>
    </w:p>
    <w:p>
      <w:pPr>
        <w:pStyle w:val="ListBullet"/>
        <w:spacing w:line="480" w:lineRule="auto"/>
      </w:pPr>
      <w:r>
        <w:rPr>
          <w:rFonts w:ascii="Times New Roman" w:hAnsi="Times New Roman" w:eastAsia="宋体"/>
          <w:b/>
          <w:sz w:val="24"/>
        </w:rPr>
        <w:t>against</w:t>
      </w:r>
      <w:r>
        <w:rPr>
          <w:rFonts w:ascii="Times New Roman" w:hAnsi="Times New Roman" w:eastAsia="宋体"/>
          <w:b w:val="0"/>
          <w:sz w:val="24"/>
        </w:rPr>
        <w:t>：建议反对该做法。</w:t>
      </w:r>
    </w:p>
    <w:p>
      <w:pPr>
        <w:spacing w:line="480" w:lineRule="auto" w:before="0" w:after="0"/>
        <w:ind w:firstLine="480"/>
      </w:pPr>
      <w:r>
        <w:rPr>
          <w:rFonts w:ascii="Times New Roman" w:hAnsi="Times New Roman" w:eastAsia="宋体"/>
          <w:b w:val="0"/>
          <w:sz w:val="24"/>
        </w:rPr>
        <w:t>112 条陈述按共识章节分为三个领域：indication（23 条）、procedure（34 条）、treatment planning（55 条）；其中 against 类 25 条（22.3%），构成对"系统性偏乐观"决策系统的有效检验。</w:t>
      </w:r>
    </w:p>
    <w:p>
      <w:pPr>
        <w:spacing w:line="360" w:lineRule="auto" w:before="240" w:after="120"/>
        <w:outlineLvl w:val="1"/>
      </w:pPr>
      <w:r>
        <w:rPr>
          <w:rFonts w:ascii="Times New Roman" w:hAnsi="Times New Roman" w:eastAsia="黑体"/>
          <w:b/>
          <w:sz w:val="28"/>
        </w:rPr>
        <w:t>系统总体架构</w:t>
      </w:r>
    </w:p>
    <w:p>
      <w:pPr>
        <w:spacing w:line="480" w:lineRule="auto" w:before="0" w:after="0"/>
        <w:ind w:firstLine="480"/>
      </w:pPr>
      <w:r>
        <w:rPr>
          <w:rFonts w:ascii="Times New Roman" w:hAnsi="Times New Roman" w:eastAsia="宋体"/>
          <w:b w:val="0"/>
          <w:sz w:val="24"/>
        </w:rPr>
        <w:t>前列安汇（probiopsy-rag）采用三层混合决策架构，输入为"患者临床情境要素（Entity A）× 穿刺决策项（Entity B）"组合，输出为带置信度、触发规则、证据链与陈述引用的结构化五类动作裁决。</w:t>
      </w:r>
    </w:p>
    <w:p>
      <w:pPr>
        <w:spacing w:line="360" w:lineRule="auto" w:before="240" w:after="120"/>
        <w:outlineLvl w:val="2"/>
      </w:pPr>
      <w:r>
        <w:rPr>
          <w:rFonts w:ascii="Times New Roman" w:hAnsi="Times New Roman" w:eastAsia="黑体"/>
          <w:b/>
          <w:sz w:val="24"/>
        </w:rPr>
        <w:t>输入层：双实体注册表</w:t>
      </w:r>
    </w:p>
    <w:p>
      <w:pPr>
        <w:pStyle w:val="ListBullet"/>
        <w:spacing w:line="480" w:lineRule="auto"/>
      </w:pPr>
      <w:r>
        <w:rPr>
          <w:rFonts w:ascii="Times New Roman" w:hAnsi="Times New Roman" w:eastAsia="宋体"/>
          <w:b/>
          <w:sz w:val="24"/>
        </w:rPr>
        <w:t>Entity A（患者临床情境）注册表</w:t>
      </w:r>
      <w:r>
        <w:rPr>
          <w:rFonts w:ascii="Times New Roman" w:hAnsi="Times New Roman" w:eastAsia="宋体"/>
          <w:b w:val="0"/>
          <w:sz w:val="24"/>
        </w:rPr>
        <w:t>：51 个情境原型，49 个独立情境标志位（flags），覆盖影像（PI-RADS 分级、mpMRI/bpMRI、磁场强度、PI-QUAL 质量）、实验室标志物（PSA、PSA 密度）、临床与病史（既往穿刺阴性、家族史、感染危险因素、抗凝）、治疗意图与资源可得性等 7 个类别；</w:t>
      </w:r>
    </w:p>
    <w:p>
      <w:pPr>
        <w:pStyle w:val="ListBullet"/>
        <w:spacing w:line="480" w:lineRule="auto"/>
      </w:pPr>
      <w:r>
        <w:rPr>
          <w:rFonts w:ascii="Times New Roman" w:hAnsi="Times New Roman" w:eastAsia="宋体"/>
          <w:b/>
          <w:sz w:val="24"/>
        </w:rPr>
        <w:t>Entity B（穿刺决策项）注册表</w:t>
      </w:r>
      <w:r>
        <w:rPr>
          <w:rFonts w:ascii="Times New Roman" w:hAnsi="Times New Roman" w:eastAsia="宋体"/>
          <w:b w:val="0"/>
          <w:sz w:val="24"/>
        </w:rPr>
        <w:t>：54 个决策项，20 个决策标志位，覆盖适应证（22）、操作流程（22）、治疗规划衔接（10）三类。</w:t>
      </w:r>
    </w:p>
    <w:p>
      <w:pPr>
        <w:spacing w:line="360" w:lineRule="auto" w:before="240" w:after="120"/>
        <w:outlineLvl w:val="2"/>
      </w:pPr>
      <w:r>
        <w:rPr>
          <w:rFonts w:ascii="Times New Roman" w:hAnsi="Times New Roman" w:eastAsia="黑体"/>
          <w:b/>
          <w:sz w:val="24"/>
        </w:rPr>
        <w:t>第 1 层：确定性规则引擎</w:t>
      </w:r>
    </w:p>
    <w:p>
      <w:pPr>
        <w:spacing w:line="480" w:lineRule="auto" w:before="0" w:after="0"/>
        <w:ind w:firstLine="480"/>
      </w:pPr>
      <w:r>
        <w:rPr>
          <w:rFonts w:ascii="Times New Roman" w:hAnsi="Times New Roman" w:eastAsia="宋体"/>
          <w:b w:val="0"/>
          <w:sz w:val="24"/>
        </w:rPr>
        <w:t>规则库（</w:t>
      </w:r>
      <w:r>
        <w:rPr>
          <w:rFonts w:ascii="Times New Roman" w:hAnsi="Times New Roman" w:eastAsia="宋体"/>
          <w:b w:val="0"/>
          <w:sz w:val="24"/>
        </w:rPr>
        <w:t>configs/rules.yaml</w:t>
      </w:r>
      <w:r>
        <w:rPr>
          <w:rFonts w:ascii="Times New Roman" w:hAnsi="Times New Roman" w:eastAsia="宋体"/>
          <w:b w:val="0"/>
          <w:sz w:val="24"/>
        </w:rPr>
        <w:t>）含 16 条确定性规则：12 条共识规则（consensus rules）+ 4 条患者因素升级规则（patient-factor rules）。每条规则定义触发标志位组合（Entity A flags × Entity B flags）、严重度（high/medium/low）、机制类别（影像路径、穿刺方案选择、靶向穿刺、围术期、治疗规划衔接等）与推荐动作。规则匹配完全确定性、无需 LLM 参与，匹配成功时向下游输出硬约束（hard constraints，例如必须否决某选项或必须升级某操作），并全部携带 ProBIOPSY 陈述编号（Q 编号）溯源。患者因素规则在共识规则之上做情境升级（如感染危险因素→优先经会阴入路/强化预防；不适合根治治疗→简化穿刺方案）。</w:t>
      </w:r>
    </w:p>
    <w:p>
      <w:pPr>
        <w:spacing w:line="360" w:lineRule="auto" w:before="240" w:after="120"/>
        <w:outlineLvl w:val="2"/>
      </w:pPr>
      <w:r>
        <w:rPr>
          <w:rFonts w:ascii="Times New Roman" w:hAnsi="Times New Roman" w:eastAsia="黑体"/>
          <w:b/>
          <w:sz w:val="24"/>
        </w:rPr>
        <w:t>第 2 层：LightRAG 知识图谱证据检索</w:t>
      </w:r>
    </w:p>
    <w:p>
      <w:pPr>
        <w:spacing w:line="480" w:lineRule="auto" w:before="0" w:after="0"/>
        <w:ind w:firstLine="480"/>
      </w:pPr>
      <w:r>
        <w:rPr>
          <w:rFonts w:ascii="Times New Roman" w:hAnsi="Times New Roman" w:eastAsia="宋体"/>
          <w:b w:val="0"/>
          <w:sz w:val="24"/>
        </w:rPr>
        <w:t>知识库语料为 357 个证据块，全部溯源自 ProBIOPSY 共识及其补充材料：112 条终版陈述（证据等级 B）、共识正文叙述 20 段、系统综述摘要 7 段（D）、以及共识正文与补充材料参考文献列表中提取的 218 条文献条目（C）。采用 LightRAG（lightrag-hku 1.5.7）构建索引：实体与关系抽取由 GLM-5.3-Flash 完成，向量索引采用 doubao-embedding-vision-251215（维度 2048）。最终索引含 1,864 个实体、3,078 条关系（约 100 MB）。</w:t>
      </w:r>
    </w:p>
    <w:p>
      <w:pPr>
        <w:spacing w:line="480" w:lineRule="auto" w:before="0" w:after="0"/>
        <w:ind w:firstLine="480"/>
      </w:pPr>
      <w:r>
        <w:rPr>
          <w:rFonts w:ascii="Times New Roman" w:hAnsi="Times New Roman" w:eastAsia="宋体"/>
          <w:b w:val="0"/>
          <w:sz w:val="24"/>
        </w:rPr>
        <w:t>完整系统采用"风险引导检索"策略：先由规则层输出触发规则与相关决策项，再以混合模式（mode=hybrid：向量 + 图结构）执行检索。为避免检索层与生成层混淆，完整系统的图谱检索以 context-only 方式调用（只取实体、关系与证据块上下文，不让 LightRAG 自行生成答案），并与词汇检索证据（BM25 风格打分，按 Entity B 决策项与 Entity A 标志位加权提升）拼接后送入仲裁层。</w:t>
      </w:r>
    </w:p>
    <w:p>
      <w:pPr>
        <w:spacing w:line="360" w:lineRule="auto" w:before="240" w:after="120"/>
        <w:outlineLvl w:val="2"/>
      </w:pPr>
      <w:r>
        <w:rPr>
          <w:rFonts w:ascii="Times New Roman" w:hAnsi="Times New Roman" w:eastAsia="黑体"/>
          <w:b/>
          <w:sz w:val="24"/>
        </w:rPr>
        <w:t>第 3 层：LLM 仲裁</w:t>
      </w:r>
    </w:p>
    <w:p>
      <w:pPr>
        <w:spacing w:line="480" w:lineRule="auto" w:before="0" w:after="0"/>
        <w:ind w:firstLine="480"/>
      </w:pPr>
      <w:r>
        <w:rPr>
          <w:rFonts w:ascii="Times New Roman" w:hAnsi="Times New Roman" w:eastAsia="宋体"/>
          <w:b w:val="0"/>
          <w:sz w:val="24"/>
        </w:rPr>
        <w:t>仲裁模块（SafetyAgent）接收四类输入：① 患者情境标志与决策项；② 规则引擎匹配结果与硬约束；③ 图谱证据上下文；④ 词汇检索证据上下文。输出为结构化裁决：五类动作之一、置信度、裁决依据文本、以及引用的陈述编号与证据块编号。裁决提示词明确要求仲裁层服从规则层硬约束：当硬约束给出确定性结论时，仲裁层不得违反。LLM 调用为智谱 GLM-5.3（OpenAI 兼容 API，https://open.bigmodel.cn/api/paas/v4，2026 年 9 月访问）。当 LLM 输出不可解析或调用失败时，系统降级输出规则层结论并显式标记 degraded，保证"永不静默失败"。</w:t>
      </w:r>
    </w:p>
    <w:p>
      <w:pPr>
        <w:spacing w:line="360" w:lineRule="auto" w:before="240" w:after="120"/>
        <w:outlineLvl w:val="2"/>
      </w:pPr>
      <w:r>
        <w:rPr>
          <w:rFonts w:ascii="Times New Roman" w:hAnsi="Times New Roman" w:eastAsia="黑体"/>
          <w:b/>
          <w:sz w:val="24"/>
        </w:rPr>
        <w:t>患者教育模式</w:t>
      </w:r>
    </w:p>
    <w:p>
      <w:pPr>
        <w:spacing w:line="480" w:lineRule="auto" w:before="0" w:after="0"/>
        <w:ind w:firstLine="480"/>
      </w:pPr>
      <w:r>
        <w:rPr>
          <w:rFonts w:ascii="Times New Roman" w:hAnsi="Times New Roman" w:eastAsia="宋体"/>
          <w:b w:val="0"/>
          <w:sz w:val="24"/>
        </w:rPr>
        <w:t>同一冻结语料与检索栈还支撑一个面向患者与家属的教育模式。完整的穿刺活检路径不仅要辅助临床决策，还要完成患者沟通："良性报告是否意味着一劳永逸"、"HGPIN 或 ASAP 是什么意思"、"穿刺能不能耐受"是泌尿外科医生每天都要面对的问题，但门诊时间紧张时，患者不断变化的信息需求往往最先被牺牲。该模式由三部分组成：① 检索完全不变，仍在冻结的 357 块共识语料与知识图谱上以 context-only 方式执行；② 一份含 10 个条目的患者教育事实库（穿刺取材逻辑、为何建议穿刺、良性报告的含义、HGPIN、ASAP、疼痛与麻醉、术前准备、术后预警症状、结果解读、共同决策），按关键词与患者问题匹配，每个条目均携带可核验来源（共识原文、EAU 与 AUA/ASTRO 指南、TRANSLATE 随机试验、并发症系统综述、以及 HGPIN 与 ASAP 处理的同行评审文献）；③ 生成提示词要求通俗语言、禁止编造统计数字、必须包含明确的"安全网"段落（何时需要紧急就医），并以引导患者回到主管医生收尾。该模式在应用界面中与医生模式并列（图 1 教育条带）；它不属于 2,240 次运行的基准评测，仅在结果部分做定性演示。</w:t>
      </w:r>
    </w:p>
    <w:p>
      <w:pPr>
        <w:spacing w:line="360" w:lineRule="auto" w:before="240" w:after="120"/>
        <w:outlineLvl w:val="1"/>
      </w:pPr>
      <w:r>
        <w:rPr>
          <w:rFonts w:ascii="Times New Roman" w:hAnsi="Times New Roman" w:eastAsia="黑体"/>
          <w:b/>
          <w:sz w:val="28"/>
        </w:rPr>
        <w:t>基线方法</w:t>
      </w:r>
    </w:p>
    <w:p>
      <w:pPr>
        <w:spacing w:line="480" w:lineRule="auto" w:before="0" w:after="0"/>
        <w:ind w:firstLine="480"/>
      </w:pPr>
      <w:r>
        <w:rPr>
          <w:rFonts w:ascii="Times New Roman" w:hAnsi="Times New Roman" w:eastAsia="宋体"/>
          <w:b w:val="0"/>
          <w:sz w:val="24"/>
        </w:rPr>
        <w:t>为剥离架构各层贡献，与完整系统对比三种基线：</w:t>
      </w:r>
    </w:p>
    <w:p>
      <w:pPr>
        <w:spacing w:line="48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pure_llm</w:t>
      </w:r>
      <w:r>
        <w:rPr>
          <w:rFonts w:ascii="Times New Roman" w:hAnsi="Times New Roman" w:eastAsia="宋体"/>
          <w:b w:val="0"/>
          <w:sz w:val="24"/>
        </w:rPr>
        <w:t>（无检索、无规则）：直接将患者情境×决策项问题交给 LLM 判断；</w:t>
      </w:r>
    </w:p>
    <w:p>
      <w:pPr>
        <w:spacing w:line="480" w:lineRule="auto" w:before="0" w:after="0"/>
        <w:ind w:firstLine="480"/>
      </w:pPr>
      <w:r>
        <w:rPr>
          <w:rFonts w:ascii="Times New Roman" w:hAnsi="Times New Roman" w:eastAsia="宋体"/>
          <w:b w:val="0"/>
          <w:sz w:val="24"/>
        </w:rPr>
        <w:t xml:space="preserve">2. </w:t>
      </w:r>
      <w:r>
        <w:rPr>
          <w:rFonts w:ascii="Times New Roman" w:hAnsi="Times New Roman" w:eastAsia="宋体"/>
          <w:b/>
          <w:sz w:val="24"/>
        </w:rPr>
        <w:t>naive_rag</w:t>
      </w:r>
      <w:r>
        <w:rPr>
          <w:rFonts w:ascii="Times New Roman" w:hAnsi="Times New Roman" w:eastAsia="宋体"/>
          <w:b w:val="0"/>
          <w:sz w:val="24"/>
        </w:rPr>
        <w:t>（词汇检索 + LLM）：BM25 风格词汇检索 top-6 证据块（平均 3,644 字符），拼入提示词后由 LLM 裁决；</w:t>
      </w:r>
    </w:p>
    <w:p>
      <w:pPr>
        <w:spacing w:line="480" w:lineRule="auto" w:before="0" w:after="0"/>
        <w:ind w:firstLine="480"/>
      </w:pPr>
      <w:r>
        <w:rPr>
          <w:rFonts w:ascii="Times New Roman" w:hAnsi="Times New Roman" w:eastAsia="宋体"/>
          <w:b w:val="0"/>
          <w:sz w:val="24"/>
        </w:rPr>
        <w:t xml:space="preserve">3. </w:t>
      </w:r>
      <w:r>
        <w:rPr>
          <w:rFonts w:ascii="Times New Roman" w:hAnsi="Times New Roman" w:eastAsia="宋体"/>
          <w:b/>
          <w:sz w:val="24"/>
        </w:rPr>
        <w:t>lightrag-only</w:t>
      </w:r>
      <w:r>
        <w:rPr>
          <w:rFonts w:ascii="Times New Roman" w:hAnsi="Times New Roman" w:eastAsia="宋体"/>
          <w:b w:val="0"/>
          <w:sz w:val="24"/>
        </w:rPr>
        <w:t>（通用图谱 RAG + LLM）：LightRAG 混合模式端到端问答（平均 2,468 字符上下文），不做规则引导，也无硬约束机制。</w:t>
      </w:r>
    </w:p>
    <w:p>
      <w:pPr>
        <w:spacing w:line="480" w:lineRule="auto" w:before="0" w:after="0"/>
        <w:ind w:firstLine="480"/>
      </w:pPr>
      <w:r>
        <w:rPr>
          <w:rFonts w:ascii="Times New Roman" w:hAnsi="Times New Roman" w:eastAsia="宋体"/>
          <w:b w:val="0"/>
          <w:sz w:val="24"/>
        </w:rPr>
        <w:t>完整系统平均上下文 7,640 字符（图谱 + 词汇证据），显著高于两个 RAG 基线，但检索预算受硬上限控制（详见讨论）。</w:t>
      </w:r>
    </w:p>
    <w:p>
      <w:pPr>
        <w:spacing w:line="360" w:lineRule="auto" w:before="240" w:after="120"/>
        <w:outlineLvl w:val="1"/>
      </w:pPr>
      <w:r>
        <w:rPr>
          <w:rFonts w:ascii="Times New Roman" w:hAnsi="Times New Roman" w:eastAsia="黑体"/>
          <w:b/>
          <w:sz w:val="28"/>
        </w:rPr>
        <w:t>基准协议</w:t>
      </w:r>
    </w:p>
    <w:p>
      <w:pPr>
        <w:pStyle w:val="ListBullet"/>
        <w:spacing w:line="480" w:lineRule="auto"/>
      </w:pPr>
      <w:r>
        <w:rPr>
          <w:rFonts w:ascii="Times New Roman" w:hAnsi="Times New Roman" w:eastAsia="宋体"/>
          <w:b w:val="0"/>
          <w:sz w:val="24"/>
        </w:rPr>
        <w:t xml:space="preserve">4 种方法 × 5 个随机种子（0–4，温度 0.2）× 112 条陈述 = </w:t>
      </w:r>
      <w:r>
        <w:rPr>
          <w:rFonts w:ascii="Times New Roman" w:hAnsi="Times New Roman" w:eastAsia="宋体"/>
          <w:b/>
          <w:sz w:val="24"/>
        </w:rPr>
        <w:t>2,240 次运行</w:t>
      </w:r>
      <w:r>
        <w:rPr>
          <w:rFonts w:ascii="Times New Roman" w:hAnsi="Times New Roman" w:eastAsia="宋体"/>
          <w:b w:val="0"/>
          <w:sz w:val="24"/>
        </w:rPr>
        <w:t>，支持断点续跑（按 method × seed × statement_id 键控）；</w:t>
      </w:r>
    </w:p>
    <w:p>
      <w:pPr>
        <w:pStyle w:val="ListBullet"/>
        <w:spacing w:line="480" w:lineRule="auto"/>
      </w:pPr>
      <w:r>
        <w:rPr>
          <w:rFonts w:ascii="Times New Roman" w:hAnsi="Times New Roman" w:eastAsia="宋体"/>
          <w:b/>
          <w:sz w:val="24"/>
        </w:rPr>
        <w:t>生成器统一</w:t>
      </w:r>
      <w:r>
        <w:rPr>
          <w:rFonts w:ascii="Times New Roman" w:hAnsi="Times New Roman" w:eastAsia="宋体"/>
          <w:b w:val="0"/>
          <w:sz w:val="24"/>
        </w:rPr>
        <w:t>：全部方法与种子的生成器均为 GLM-5.3-Flash。此设计将"生成器模型"固定为常量，使方法间差异完全归因于检索层与决策层架构（规则引擎、检索策略、硬约束），而非模型能力差异；生成器客户端并发数、最小调用间隔等速率参数在各方法间一致；</w:t>
      </w:r>
    </w:p>
    <w:p>
      <w:pPr>
        <w:pStyle w:val="ListBullet"/>
        <w:spacing w:line="480" w:lineRule="auto"/>
      </w:pPr>
      <w:r>
        <w:rPr>
          <w:rFonts w:ascii="Times New Roman" w:hAnsi="Times New Roman" w:eastAsia="宋体"/>
          <w:b w:val="0"/>
          <w:sz w:val="24"/>
        </w:rPr>
        <w:t>全部 2,240 次运行成功返回且无降级记录（0 error / 0 degraded）；</w:t>
      </w:r>
    </w:p>
    <w:p>
      <w:pPr>
        <w:pStyle w:val="ListBullet"/>
        <w:spacing w:line="480" w:lineRule="auto"/>
      </w:pPr>
      <w:r>
        <w:rPr>
          <w:rFonts w:ascii="Times New Roman" w:hAnsi="Times New Roman" w:eastAsia="宋体"/>
          <w:b/>
          <w:sz w:val="24"/>
        </w:rPr>
        <w:t>补充实验（生成器档位鲁棒性）</w:t>
      </w:r>
      <w:r>
        <w:rPr>
          <w:rFonts w:ascii="Times New Roman" w:hAnsi="Times New Roman" w:eastAsia="宋体"/>
          <w:b w:val="0"/>
          <w:sz w:val="24"/>
        </w:rPr>
        <w:t>：另以 GLM-5.3 旗舰档（thinking 混合推理）运行 pure_llm 与 naive_rag 完整基线（各 5 种子 × 112 条 = 1,120 条记录），检验"更强生成器是否拯救弱架构"。</w:t>
      </w:r>
    </w:p>
    <w:p>
      <w:pPr>
        <w:spacing w:line="360" w:lineRule="auto" w:before="240" w:after="120"/>
        <w:outlineLvl w:val="1"/>
      </w:pPr>
      <w:r>
        <w:rPr>
          <w:rFonts w:ascii="Times New Roman" w:hAnsi="Times New Roman" w:eastAsia="黑体"/>
          <w:b/>
          <w:sz w:val="28"/>
        </w:rPr>
        <w:t>评价指标</w:t>
      </w:r>
    </w:p>
    <w:p>
      <w:pPr>
        <w:pStyle w:val="ListBullet"/>
        <w:spacing w:line="480" w:lineRule="auto"/>
      </w:pPr>
      <w:r>
        <w:rPr>
          <w:rFonts w:ascii="Times New Roman" w:hAnsi="Times New Roman" w:eastAsia="宋体"/>
          <w:b/>
          <w:sz w:val="24"/>
        </w:rPr>
        <w:t>exact5</w:t>
      </w:r>
      <w:r>
        <w:rPr>
          <w:rFonts w:ascii="Times New Roman" w:hAnsi="Times New Roman" w:eastAsia="宋体"/>
          <w:b w:val="0"/>
          <w:sz w:val="24"/>
        </w:rPr>
        <w:t>：五类动作严格匹配率（主指标）；</w:t>
      </w:r>
    </w:p>
    <w:p>
      <w:pPr>
        <w:pStyle w:val="ListBullet"/>
        <w:spacing w:line="480" w:lineRule="auto"/>
      </w:pPr>
      <w:r>
        <w:rPr>
          <w:rFonts w:ascii="Times New Roman" w:hAnsi="Times New Roman" w:eastAsia="宋体"/>
          <w:b/>
          <w:sz w:val="24"/>
        </w:rPr>
        <w:t>exact3</w:t>
      </w:r>
      <w:r>
        <w:rPr>
          <w:rFonts w:ascii="Times New Roman" w:hAnsi="Times New Roman" w:eastAsia="宋体"/>
          <w:b w:val="0"/>
          <w:sz w:val="24"/>
        </w:rPr>
        <w:t>：三类粗粒度匹配率（将 endorse_option 并入 endorse、report_option 并入 conditional 后匹配），用于检验"基线靠多数类膨胀粗粒度准确率"的现象；</w:t>
      </w:r>
    </w:p>
    <w:p>
      <w:pPr>
        <w:pStyle w:val="ListBullet"/>
        <w:spacing w:line="480" w:lineRule="auto"/>
      </w:pPr>
      <w:r>
        <w:rPr>
          <w:rFonts w:ascii="Times New Roman" w:hAnsi="Times New Roman" w:eastAsia="宋体"/>
          <w:b/>
          <w:sz w:val="24"/>
        </w:rPr>
        <w:t>macro-F1</w:t>
      </w:r>
      <w:r>
        <w:rPr>
          <w:rFonts w:ascii="Times New Roman" w:hAnsi="Times New Roman" w:eastAsia="宋体"/>
          <w:b w:val="0"/>
          <w:sz w:val="24"/>
        </w:rPr>
        <w:t>：五类宏平均 F1；</w:t>
      </w:r>
    </w:p>
    <w:p>
      <w:pPr>
        <w:pStyle w:val="ListBullet"/>
        <w:spacing w:line="480" w:lineRule="auto"/>
      </w:pPr>
      <w:r>
        <w:rPr>
          <w:rFonts w:ascii="Times New Roman" w:hAnsi="Times New Roman" w:eastAsia="宋体"/>
          <w:b/>
          <w:sz w:val="24"/>
        </w:rPr>
        <w:t>Cohen's κ</w:t>
      </w:r>
      <w:r>
        <w:rPr>
          <w:rFonts w:ascii="Times New Roman" w:hAnsi="Times New Roman" w:eastAsia="宋体"/>
          <w:b w:val="0"/>
          <w:sz w:val="24"/>
        </w:rPr>
        <w:t>：与金标准的五类一致性（校正多数类偏倚）；</w:t>
      </w:r>
    </w:p>
    <w:p>
      <w:pPr>
        <w:pStyle w:val="ListBullet"/>
        <w:spacing w:line="480" w:lineRule="auto"/>
      </w:pPr>
      <w:r>
        <w:rPr>
          <w:rFonts w:ascii="Times New Roman" w:hAnsi="Times New Roman" w:eastAsia="宋体"/>
          <w:b/>
          <w:sz w:val="24"/>
        </w:rPr>
        <w:t>against 类二分类指标</w:t>
      </w:r>
      <w:r>
        <w:rPr>
          <w:rFonts w:ascii="Times New Roman" w:hAnsi="Times New Roman" w:eastAsia="宋体"/>
          <w:b w:val="0"/>
          <w:sz w:val="24"/>
        </w:rPr>
        <w:t>：sensitivity / specificity / F1（把 against 视为正类），反映系统"敢于且正确地反对"的能力；</w:t>
      </w:r>
    </w:p>
    <w:p>
      <w:pPr>
        <w:pStyle w:val="ListBullet"/>
        <w:spacing w:line="480" w:lineRule="auto"/>
      </w:pPr>
      <w:r>
        <w:rPr>
          <w:rFonts w:ascii="Times New Roman" w:hAnsi="Times New Roman" w:eastAsia="宋体"/>
          <w:b w:val="0"/>
          <w:sz w:val="24"/>
        </w:rPr>
        <w:t>以上指标均按 5 个种子计算 mean ± SD；</w:t>
      </w:r>
    </w:p>
    <w:p>
      <w:pPr>
        <w:pStyle w:val="ListBullet"/>
        <w:spacing w:line="480" w:lineRule="auto"/>
      </w:pPr>
      <w:r>
        <w:rPr>
          <w:rFonts w:ascii="Times New Roman" w:hAnsi="Times New Roman" w:eastAsia="宋体"/>
          <w:b w:val="0"/>
          <w:sz w:val="24"/>
        </w:rPr>
        <w:t>记录每次运行检索上下文字符数（context chars）作为效率指标。</w:t>
      </w:r>
    </w:p>
    <w:p>
      <w:pPr>
        <w:spacing w:line="360" w:lineRule="auto" w:before="240" w:after="120"/>
        <w:outlineLvl w:val="1"/>
      </w:pPr>
      <w:r>
        <w:rPr>
          <w:rFonts w:ascii="Times New Roman" w:hAnsi="Times New Roman" w:eastAsia="黑体"/>
          <w:b/>
          <w:sz w:val="28"/>
        </w:rPr>
        <w:t>实现与可复现性</w:t>
      </w:r>
    </w:p>
    <w:p>
      <w:pPr>
        <w:spacing w:line="480" w:lineRule="auto" w:before="0" w:after="0"/>
        <w:ind w:firstLine="480"/>
      </w:pPr>
      <w:r>
        <w:rPr>
          <w:rFonts w:ascii="Times New Roman" w:hAnsi="Times New Roman" w:eastAsia="宋体"/>
          <w:b w:val="0"/>
          <w:sz w:val="24"/>
        </w:rPr>
        <w:t>系统以 Python 3.13 实现，知识图谱基于 lightrag-hku 1.5.7。规则文件、双实体注册表、证据块库、金标准标注、全部 2,240 条原始预测记录（含每次运行的上下文长度与检索块数）与评估脚本随代码仓库发布；索引构建时记录规则文件 SHA-256 摘要（</w:t>
      </w:r>
      <w:r>
        <w:rPr>
          <w:rFonts w:ascii="Times New Roman" w:hAnsi="Times New Roman" w:eastAsia="宋体"/>
          <w:b w:val="0"/>
          <w:sz w:val="24"/>
        </w:rPr>
        <w:t>index_built_against_rules_sha256</w:t>
      </w:r>
      <w:r>
        <w:rPr>
          <w:rFonts w:ascii="Times New Roman" w:hAnsi="Times New Roman" w:eastAsia="宋体"/>
          <w:b w:val="0"/>
          <w:sz w:val="24"/>
        </w:rPr>
        <w:t>），应用界面据此实时校验"索引—规则"版本一致性，防止索引与规则库脱钩。</w:t>
      </w:r>
    </w:p>
    <w:p>
      <w:pPr>
        <w:spacing w:line="360" w:lineRule="auto" w:before="240" w:after="120"/>
        <w:jc w:val="center"/>
        <w:outlineLvl w:val="0"/>
      </w:pPr>
      <w:r>
        <w:rPr>
          <w:rFonts w:ascii="Times New Roman" w:hAnsi="Times New Roman" w:eastAsia="黑体"/>
          <w:b/>
          <w:sz w:val="30"/>
        </w:rPr>
        <w:t>结果 (Results)</w:t>
      </w:r>
    </w:p>
    <w:p>
      <w:pPr>
        <w:spacing w:line="360" w:lineRule="auto" w:before="240" w:after="120"/>
        <w:outlineLvl w:val="1"/>
      </w:pPr>
      <w:r>
        <w:rPr>
          <w:rFonts w:ascii="Times New Roman" w:hAnsi="Times New Roman" w:eastAsia="黑体"/>
          <w:b/>
          <w:sz w:val="28"/>
        </w:rPr>
        <w:t>基准总览</w:t>
      </w:r>
    </w:p>
    <w:p>
      <w:pPr>
        <w:spacing w:line="480" w:lineRule="auto" w:before="0" w:after="0"/>
        <w:ind w:firstLine="480"/>
      </w:pPr>
      <w:r>
        <w:rPr>
          <w:rFonts w:ascii="Times New Roman" w:hAnsi="Times New Roman" w:eastAsia="宋体"/>
          <w:b w:val="0"/>
          <w:sz w:val="24"/>
        </w:rPr>
        <w:t>4 种方法 × 5 种子 × 112 条金标准陈述共 2,240 次运行全部成功完成，无错误、无降级输出。表 3（</w:t>
      </w:r>
      <w:r>
        <w:rPr>
          <w:rFonts w:ascii="Times New Roman" w:hAnsi="Times New Roman" w:eastAsia="宋体"/>
          <w:b w:val="0"/>
          <w:sz w:val="24"/>
        </w:rPr>
        <w:t>outputs/tables/table3_performance.md</w:t>
      </w:r>
      <w:r>
        <w:rPr>
          <w:rFonts w:ascii="Times New Roman" w:hAnsi="Times New Roman" w:eastAsia="宋体"/>
          <w:b w:val="0"/>
          <w:sz w:val="24"/>
        </w:rPr>
        <w:t>）给出主矩阵；图 2（</w:t>
      </w:r>
      <w:r>
        <w:rPr>
          <w:rFonts w:ascii="Times New Roman" w:hAnsi="Times New Roman" w:eastAsia="宋体"/>
          <w:b w:val="0"/>
          <w:sz w:val="24"/>
        </w:rPr>
        <w:t>outputs/figures/figure2_performance.*</w:t>
      </w:r>
      <w:r>
        <w:rPr>
          <w:rFonts w:ascii="Times New Roman" w:hAnsi="Times New Roman" w:eastAsia="宋体"/>
          <w:b w:val="0"/>
          <w:sz w:val="24"/>
        </w:rPr>
        <w:t>）给出分种子点图。</w:t>
      </w:r>
    </w:p>
    <w:p>
      <w:pPr>
        <w:spacing w:line="360" w:lineRule="auto" w:before="240" w:after="120"/>
        <w:outlineLvl w:val="1"/>
      </w:pPr>
      <w:r>
        <w:rPr>
          <w:rFonts w:ascii="Times New Roman" w:hAnsi="Times New Roman" w:eastAsia="黑体"/>
          <w:b/>
          <w:sz w:val="28"/>
        </w:rPr>
        <w:t>主结果（表 3、图 2）</w:t>
      </w:r>
    </w:p>
    <w:p>
      <w:pPr>
        <w:spacing w:line="480" w:lineRule="auto" w:before="0" w:after="0"/>
        <w:ind w:firstLine="480"/>
      </w:pPr>
      <w:r>
        <w:rPr>
          <w:rFonts w:ascii="Times New Roman" w:hAnsi="Times New Roman" w:eastAsia="宋体"/>
          <w:b w:val="0"/>
          <w:sz w:val="24"/>
        </w:rPr>
        <w:t>完整系统（前列安汇）在全部五类细粒度指标上显著优于三个基线：</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76" w:lineRule="auto"/>
            </w:pPr>
            <w:r/>
            <w:r>
              <w:rPr>
                <w:rFonts w:ascii="Times New Roman" w:hAnsi="Times New Roman" w:eastAsia="宋体"/>
                <w:b/>
                <w:sz w:val="21"/>
              </w:rPr>
              <w:t>方法</w:t>
            </w:r>
          </w:p>
        </w:tc>
        <w:tc>
          <w:tcPr>
            <w:tcW w:type="dxa" w:w="1187"/>
          </w:tcPr>
          <w:p>
            <w:pPr>
              <w:spacing w:line="276" w:lineRule="auto"/>
            </w:pPr>
            <w:r/>
            <w:r>
              <w:rPr>
                <w:rFonts w:ascii="Times New Roman" w:hAnsi="Times New Roman" w:eastAsia="宋体"/>
                <w:b/>
                <w:sz w:val="21"/>
              </w:rPr>
              <w:t>exact5</w:t>
            </w:r>
          </w:p>
        </w:tc>
        <w:tc>
          <w:tcPr>
            <w:tcW w:type="dxa" w:w="1187"/>
          </w:tcPr>
          <w:p>
            <w:pPr>
              <w:spacing w:line="276" w:lineRule="auto"/>
            </w:pPr>
            <w:r/>
            <w:r>
              <w:rPr>
                <w:rFonts w:ascii="Times New Roman" w:hAnsi="Times New Roman" w:eastAsia="宋体"/>
                <w:b/>
                <w:sz w:val="21"/>
              </w:rPr>
              <w:t>exact3</w:t>
            </w:r>
          </w:p>
        </w:tc>
        <w:tc>
          <w:tcPr>
            <w:tcW w:type="dxa" w:w="1187"/>
          </w:tcPr>
          <w:p>
            <w:pPr>
              <w:spacing w:line="276" w:lineRule="auto"/>
            </w:pPr>
            <w:r/>
            <w:r>
              <w:rPr>
                <w:rFonts w:ascii="Times New Roman" w:hAnsi="Times New Roman" w:eastAsia="宋体"/>
                <w:b/>
                <w:sz w:val="21"/>
              </w:rPr>
              <w:t>macro-F1</w:t>
            </w:r>
          </w:p>
        </w:tc>
        <w:tc>
          <w:tcPr>
            <w:tcW w:type="dxa" w:w="1187"/>
          </w:tcPr>
          <w:p>
            <w:pPr>
              <w:spacing w:line="276" w:lineRule="auto"/>
            </w:pPr>
            <w:r/>
            <w:r>
              <w:rPr>
                <w:rFonts w:ascii="Times New Roman" w:hAnsi="Times New Roman" w:eastAsia="宋体"/>
                <w:b/>
                <w:sz w:val="21"/>
              </w:rPr>
              <w:t>κ</w:t>
            </w:r>
          </w:p>
        </w:tc>
        <w:tc>
          <w:tcPr>
            <w:tcW w:type="dxa" w:w="1187"/>
          </w:tcPr>
          <w:p>
            <w:pPr>
              <w:spacing w:line="276" w:lineRule="auto"/>
            </w:pPr>
            <w:r/>
            <w:r>
              <w:rPr>
                <w:rFonts w:ascii="Times New Roman" w:hAnsi="Times New Roman" w:eastAsia="宋体"/>
                <w:b/>
                <w:sz w:val="21"/>
              </w:rPr>
              <w:t>against-F1</w:t>
            </w:r>
          </w:p>
        </w:tc>
        <w:tc>
          <w:tcPr>
            <w:tcW w:type="dxa" w:w="1187"/>
          </w:tcPr>
          <w:p>
            <w:pPr>
              <w:spacing w:line="276" w:lineRule="auto"/>
            </w:pPr>
            <w:r/>
            <w:r>
              <w:rPr>
                <w:rFonts w:ascii="Times New Roman" w:hAnsi="Times New Roman" w:eastAsia="宋体"/>
                <w:b/>
                <w:sz w:val="21"/>
              </w:rPr>
              <w:t>平均上下文（字符）</w:t>
            </w:r>
          </w:p>
        </w:tc>
      </w:tr>
      <w:tr>
        <w:tc>
          <w:tcPr>
            <w:tcW w:type="dxa" w:w="1187"/>
          </w:tcPr>
          <w:p>
            <w:pPr>
              <w:spacing w:line="276" w:lineRule="auto"/>
            </w:pPr>
            <w:r/>
            <w:r>
              <w:rPr>
                <w:rFonts w:ascii="Times New Roman" w:hAnsi="Times New Roman" w:eastAsia="宋体"/>
                <w:b/>
                <w:sz w:val="21"/>
              </w:rPr>
              <w:t>前列安汇（完整系统）</w:t>
            </w:r>
          </w:p>
        </w:tc>
        <w:tc>
          <w:tcPr>
            <w:tcW w:type="dxa" w:w="1187"/>
          </w:tcPr>
          <w:p>
            <w:pPr>
              <w:spacing w:line="276" w:lineRule="auto"/>
            </w:pPr>
            <w:r/>
            <w:r>
              <w:rPr>
                <w:rFonts w:ascii="Times New Roman" w:hAnsi="Times New Roman" w:eastAsia="宋体"/>
                <w:b/>
                <w:sz w:val="21"/>
              </w:rPr>
              <w:t>0.805±0.012</w:t>
            </w:r>
          </w:p>
        </w:tc>
        <w:tc>
          <w:tcPr>
            <w:tcW w:type="dxa" w:w="1187"/>
          </w:tcPr>
          <w:p>
            <w:pPr>
              <w:spacing w:line="276" w:lineRule="auto"/>
            </w:pPr>
            <w:r/>
            <w:r>
              <w:rPr>
                <w:rFonts w:ascii="Times New Roman" w:hAnsi="Times New Roman" w:eastAsia="宋体"/>
                <w:b w:val="0"/>
                <w:sz w:val="21"/>
              </w:rPr>
              <w:t>0.823±0.012</w:t>
            </w:r>
          </w:p>
        </w:tc>
        <w:tc>
          <w:tcPr>
            <w:tcW w:type="dxa" w:w="1187"/>
          </w:tcPr>
          <w:p>
            <w:pPr>
              <w:spacing w:line="276" w:lineRule="auto"/>
            </w:pPr>
            <w:r/>
            <w:r>
              <w:rPr>
                <w:rFonts w:ascii="Times New Roman" w:hAnsi="Times New Roman" w:eastAsia="宋体"/>
                <w:b/>
                <w:sz w:val="21"/>
              </w:rPr>
              <w:t>0.825±0.022</w:t>
            </w:r>
          </w:p>
        </w:tc>
        <w:tc>
          <w:tcPr>
            <w:tcW w:type="dxa" w:w="1187"/>
          </w:tcPr>
          <w:p>
            <w:pPr>
              <w:spacing w:line="276" w:lineRule="auto"/>
            </w:pPr>
            <w:r/>
            <w:r>
              <w:rPr>
                <w:rFonts w:ascii="Times New Roman" w:hAnsi="Times New Roman" w:eastAsia="宋体"/>
                <w:b/>
                <w:sz w:val="21"/>
              </w:rPr>
              <w:t>0.730±0.016</w:t>
            </w:r>
          </w:p>
        </w:tc>
        <w:tc>
          <w:tcPr>
            <w:tcW w:type="dxa" w:w="1187"/>
          </w:tcPr>
          <w:p>
            <w:pPr>
              <w:spacing w:line="276" w:lineRule="auto"/>
            </w:pPr>
            <w:r/>
            <w:r>
              <w:rPr>
                <w:rFonts w:ascii="Times New Roman" w:hAnsi="Times New Roman" w:eastAsia="宋体"/>
                <w:b/>
                <w:sz w:val="21"/>
              </w:rPr>
              <w:t>0.908±0.023</w:t>
            </w:r>
          </w:p>
        </w:tc>
        <w:tc>
          <w:tcPr>
            <w:tcW w:type="dxa" w:w="1187"/>
          </w:tcPr>
          <w:p>
            <w:pPr>
              <w:spacing w:line="276" w:lineRule="auto"/>
            </w:pPr>
            <w:r/>
            <w:r>
              <w:rPr>
                <w:rFonts w:ascii="Times New Roman" w:hAnsi="Times New Roman" w:eastAsia="宋体"/>
                <w:b w:val="0"/>
                <w:sz w:val="21"/>
              </w:rPr>
              <w:t>7,640</w:t>
            </w:r>
          </w:p>
        </w:tc>
      </w:tr>
      <w:tr>
        <w:tc>
          <w:tcPr>
            <w:tcW w:type="dxa" w:w="1187"/>
          </w:tcPr>
          <w:p>
            <w:pPr>
              <w:spacing w:line="276" w:lineRule="auto"/>
            </w:pPr>
            <w:r/>
            <w:r>
              <w:rPr>
                <w:rFonts w:ascii="Times New Roman" w:hAnsi="Times New Roman" w:eastAsia="宋体"/>
                <w:b w:val="0"/>
                <w:sz w:val="21"/>
              </w:rPr>
              <w:t>lightrag-only</w:t>
            </w:r>
          </w:p>
        </w:tc>
        <w:tc>
          <w:tcPr>
            <w:tcW w:type="dxa" w:w="1187"/>
          </w:tcPr>
          <w:p>
            <w:pPr>
              <w:spacing w:line="276" w:lineRule="auto"/>
            </w:pPr>
            <w:r/>
            <w:r>
              <w:rPr>
                <w:rFonts w:ascii="Times New Roman" w:hAnsi="Times New Roman" w:eastAsia="宋体"/>
                <w:b w:val="0"/>
                <w:sz w:val="21"/>
              </w:rPr>
              <w:t>0.613±0.013</w:t>
            </w:r>
          </w:p>
        </w:tc>
        <w:tc>
          <w:tcPr>
            <w:tcW w:type="dxa" w:w="1187"/>
          </w:tcPr>
          <w:p>
            <w:pPr>
              <w:spacing w:line="276" w:lineRule="auto"/>
            </w:pPr>
            <w:r/>
            <w:r>
              <w:rPr>
                <w:rFonts w:ascii="Times New Roman" w:hAnsi="Times New Roman" w:eastAsia="宋体"/>
                <w:b w:val="0"/>
                <w:sz w:val="21"/>
              </w:rPr>
              <w:t>0.920±0.013</w:t>
            </w:r>
          </w:p>
        </w:tc>
        <w:tc>
          <w:tcPr>
            <w:tcW w:type="dxa" w:w="1187"/>
          </w:tcPr>
          <w:p>
            <w:pPr>
              <w:spacing w:line="276" w:lineRule="auto"/>
            </w:pPr>
            <w:r/>
            <w:r>
              <w:rPr>
                <w:rFonts w:ascii="Times New Roman" w:hAnsi="Times New Roman" w:eastAsia="宋体"/>
                <w:b w:val="0"/>
                <w:sz w:val="21"/>
              </w:rPr>
              <w:t>0.536±0.012</w:t>
            </w:r>
          </w:p>
        </w:tc>
        <w:tc>
          <w:tcPr>
            <w:tcW w:type="dxa" w:w="1187"/>
          </w:tcPr>
          <w:p>
            <w:pPr>
              <w:spacing w:line="276" w:lineRule="auto"/>
            </w:pPr>
            <w:r/>
            <w:r>
              <w:rPr>
                <w:rFonts w:ascii="Times New Roman" w:hAnsi="Times New Roman" w:eastAsia="宋体"/>
                <w:b w:val="0"/>
                <w:sz w:val="21"/>
              </w:rPr>
              <w:t>0.525±0.012</w:t>
            </w:r>
          </w:p>
        </w:tc>
        <w:tc>
          <w:tcPr>
            <w:tcW w:type="dxa" w:w="1187"/>
          </w:tcPr>
          <w:p>
            <w:pPr>
              <w:spacing w:line="276" w:lineRule="auto"/>
            </w:pPr>
            <w:r/>
            <w:r>
              <w:rPr>
                <w:rFonts w:ascii="Times New Roman" w:hAnsi="Times New Roman" w:eastAsia="宋体"/>
                <w:b w:val="0"/>
                <w:sz w:val="21"/>
              </w:rPr>
              <w:t>0.881±0.023</w:t>
            </w:r>
          </w:p>
        </w:tc>
        <w:tc>
          <w:tcPr>
            <w:tcW w:type="dxa" w:w="1187"/>
          </w:tcPr>
          <w:p>
            <w:pPr>
              <w:spacing w:line="276" w:lineRule="auto"/>
            </w:pPr>
            <w:r/>
            <w:r>
              <w:rPr>
                <w:rFonts w:ascii="Times New Roman" w:hAnsi="Times New Roman" w:eastAsia="宋体"/>
                <w:b w:val="0"/>
                <w:sz w:val="21"/>
              </w:rPr>
              <w:t>2,468</w:t>
            </w:r>
          </w:p>
        </w:tc>
      </w:tr>
      <w:tr>
        <w:tc>
          <w:tcPr>
            <w:tcW w:type="dxa" w:w="1187"/>
          </w:tcPr>
          <w:p>
            <w:pPr>
              <w:spacing w:line="276" w:lineRule="auto"/>
            </w:pPr>
            <w:r/>
            <w:r>
              <w:rPr>
                <w:rFonts w:ascii="Times New Roman" w:hAnsi="Times New Roman" w:eastAsia="宋体"/>
                <w:b w:val="0"/>
                <w:sz w:val="21"/>
              </w:rPr>
              <w:t>naive_rag</w:t>
            </w:r>
          </w:p>
        </w:tc>
        <w:tc>
          <w:tcPr>
            <w:tcW w:type="dxa" w:w="1187"/>
          </w:tcPr>
          <w:p>
            <w:pPr>
              <w:spacing w:line="276" w:lineRule="auto"/>
            </w:pPr>
            <w:r/>
            <w:r>
              <w:rPr>
                <w:rFonts w:ascii="Times New Roman" w:hAnsi="Times New Roman" w:eastAsia="宋体"/>
                <w:b w:val="0"/>
                <w:sz w:val="21"/>
              </w:rPr>
              <w:t>0.605±0.033</w:t>
            </w:r>
          </w:p>
        </w:tc>
        <w:tc>
          <w:tcPr>
            <w:tcW w:type="dxa" w:w="1187"/>
          </w:tcPr>
          <w:p>
            <w:pPr>
              <w:spacing w:line="276" w:lineRule="auto"/>
            </w:pPr>
            <w:r/>
            <w:r>
              <w:rPr>
                <w:rFonts w:ascii="Times New Roman" w:hAnsi="Times New Roman" w:eastAsia="宋体"/>
                <w:b w:val="0"/>
                <w:sz w:val="21"/>
              </w:rPr>
              <w:t>0.905±0.013</w:t>
            </w:r>
          </w:p>
        </w:tc>
        <w:tc>
          <w:tcPr>
            <w:tcW w:type="dxa" w:w="1187"/>
          </w:tcPr>
          <w:p>
            <w:pPr>
              <w:spacing w:line="276" w:lineRule="auto"/>
            </w:pPr>
            <w:r/>
            <w:r>
              <w:rPr>
                <w:rFonts w:ascii="Times New Roman" w:hAnsi="Times New Roman" w:eastAsia="宋体"/>
                <w:b w:val="0"/>
                <w:sz w:val="21"/>
              </w:rPr>
              <w:t>0.514±0.043</w:t>
            </w:r>
          </w:p>
        </w:tc>
        <w:tc>
          <w:tcPr>
            <w:tcW w:type="dxa" w:w="1187"/>
          </w:tcPr>
          <w:p>
            <w:pPr>
              <w:spacing w:line="276" w:lineRule="auto"/>
            </w:pPr>
            <w:r/>
            <w:r>
              <w:rPr>
                <w:rFonts w:ascii="Times New Roman" w:hAnsi="Times New Roman" w:eastAsia="宋体"/>
                <w:b w:val="0"/>
                <w:sz w:val="21"/>
              </w:rPr>
              <w:t>0.512±0.041</w:t>
            </w:r>
          </w:p>
        </w:tc>
        <w:tc>
          <w:tcPr>
            <w:tcW w:type="dxa" w:w="1187"/>
          </w:tcPr>
          <w:p>
            <w:pPr>
              <w:spacing w:line="276" w:lineRule="auto"/>
            </w:pPr>
            <w:r/>
            <w:r>
              <w:rPr>
                <w:rFonts w:ascii="Times New Roman" w:hAnsi="Times New Roman" w:eastAsia="宋体"/>
                <w:b w:val="0"/>
                <w:sz w:val="21"/>
              </w:rPr>
              <w:t>0.890±0.028</w:t>
            </w:r>
          </w:p>
        </w:tc>
        <w:tc>
          <w:tcPr>
            <w:tcW w:type="dxa" w:w="1187"/>
          </w:tcPr>
          <w:p>
            <w:pPr>
              <w:spacing w:line="276" w:lineRule="auto"/>
            </w:pPr>
            <w:r/>
            <w:r>
              <w:rPr>
                <w:rFonts w:ascii="Times New Roman" w:hAnsi="Times New Roman" w:eastAsia="宋体"/>
                <w:b w:val="0"/>
                <w:sz w:val="21"/>
              </w:rPr>
              <w:t>3,644</w:t>
            </w:r>
          </w:p>
        </w:tc>
      </w:tr>
      <w:tr>
        <w:tc>
          <w:tcPr>
            <w:tcW w:type="dxa" w:w="1187"/>
          </w:tcPr>
          <w:p>
            <w:pPr>
              <w:spacing w:line="276" w:lineRule="auto"/>
            </w:pPr>
            <w:r/>
            <w:r>
              <w:rPr>
                <w:rFonts w:ascii="Times New Roman" w:hAnsi="Times New Roman" w:eastAsia="宋体"/>
                <w:b w:val="0"/>
                <w:sz w:val="21"/>
              </w:rPr>
              <w:t>pure_llm</w:t>
            </w:r>
          </w:p>
        </w:tc>
        <w:tc>
          <w:tcPr>
            <w:tcW w:type="dxa" w:w="1187"/>
          </w:tcPr>
          <w:p>
            <w:pPr>
              <w:spacing w:line="276" w:lineRule="auto"/>
            </w:pPr>
            <w:r/>
            <w:r>
              <w:rPr>
                <w:rFonts w:ascii="Times New Roman" w:hAnsi="Times New Roman" w:eastAsia="宋体"/>
                <w:b w:val="0"/>
                <w:sz w:val="21"/>
              </w:rPr>
              <w:t>0.304±0.039</w:t>
            </w:r>
          </w:p>
        </w:tc>
        <w:tc>
          <w:tcPr>
            <w:tcW w:type="dxa" w:w="1187"/>
          </w:tcPr>
          <w:p>
            <w:pPr>
              <w:spacing w:line="276" w:lineRule="auto"/>
            </w:pPr>
            <w:r/>
            <w:r>
              <w:rPr>
                <w:rFonts w:ascii="Times New Roman" w:hAnsi="Times New Roman" w:eastAsia="宋体"/>
                <w:b w:val="0"/>
                <w:sz w:val="21"/>
              </w:rPr>
              <w:t>0.370±0.029</w:t>
            </w:r>
          </w:p>
        </w:tc>
        <w:tc>
          <w:tcPr>
            <w:tcW w:type="dxa" w:w="1187"/>
          </w:tcPr>
          <w:p>
            <w:pPr>
              <w:spacing w:line="276" w:lineRule="auto"/>
            </w:pPr>
            <w:r/>
            <w:r>
              <w:rPr>
                <w:rFonts w:ascii="Times New Roman" w:hAnsi="Times New Roman" w:eastAsia="宋体"/>
                <w:b w:val="0"/>
                <w:sz w:val="21"/>
              </w:rPr>
              <w:t>0.254±0.029</w:t>
            </w:r>
          </w:p>
        </w:tc>
        <w:tc>
          <w:tcPr>
            <w:tcW w:type="dxa" w:w="1187"/>
          </w:tcPr>
          <w:p>
            <w:pPr>
              <w:spacing w:line="276" w:lineRule="auto"/>
            </w:pPr>
            <w:r/>
            <w:r>
              <w:rPr>
                <w:rFonts w:ascii="Times New Roman" w:hAnsi="Times New Roman" w:eastAsia="宋体"/>
                <w:b w:val="0"/>
                <w:sz w:val="21"/>
              </w:rPr>
              <w:t>0.079±0.053</w:t>
            </w:r>
          </w:p>
        </w:tc>
        <w:tc>
          <w:tcPr>
            <w:tcW w:type="dxa" w:w="1187"/>
          </w:tcPr>
          <w:p>
            <w:pPr>
              <w:spacing w:line="276" w:lineRule="auto"/>
            </w:pPr>
            <w:r/>
            <w:r>
              <w:rPr>
                <w:rFonts w:ascii="Times New Roman" w:hAnsi="Times New Roman" w:eastAsia="宋体"/>
                <w:b w:val="0"/>
                <w:sz w:val="21"/>
              </w:rPr>
              <w:t>0.346±0.053</w:t>
            </w:r>
          </w:p>
        </w:tc>
        <w:tc>
          <w:tcPr>
            <w:tcW w:type="dxa" w:w="1187"/>
          </w:tcPr>
          <w:p>
            <w:pPr>
              <w:spacing w:line="276" w:lineRule="auto"/>
            </w:pPr>
            <w:r/>
            <w:r>
              <w:rPr>
                <w:rFonts w:ascii="Times New Roman" w:hAnsi="Times New Roman" w:eastAsia="宋体"/>
                <w:b w:val="0"/>
                <w:sz w:val="21"/>
              </w:rPr>
              <w:t>0</w:t>
            </w:r>
          </w:p>
        </w:tc>
      </w:tr>
    </w:tbl>
    <w:p/>
    <w:p>
      <w:pPr>
        <w:pStyle w:val="ListBullet"/>
        <w:spacing w:line="480" w:lineRule="auto"/>
      </w:pPr>
      <w:r>
        <w:rPr>
          <w:rFonts w:ascii="Times New Roman" w:hAnsi="Times New Roman" w:eastAsia="宋体"/>
          <w:b w:val="0"/>
          <w:sz w:val="24"/>
        </w:rPr>
        <w:t xml:space="preserve">相对最强基线（lightrag-only），exact5 提高 </w:t>
      </w:r>
      <w:r>
        <w:rPr>
          <w:rFonts w:ascii="Times New Roman" w:hAnsi="Times New Roman" w:eastAsia="宋体"/>
          <w:b/>
          <w:sz w:val="24"/>
        </w:rPr>
        <w:t>+19.2 个百分点</w:t>
      </w:r>
      <w:r>
        <w:rPr>
          <w:rFonts w:ascii="Times New Roman" w:hAnsi="Times New Roman" w:eastAsia="宋体"/>
          <w:b w:val="0"/>
          <w:sz w:val="24"/>
        </w:rPr>
        <w:t xml:space="preserve">（0.805 vs 0.613），κ 提高 </w:t>
      </w:r>
      <w:r>
        <w:rPr>
          <w:rFonts w:ascii="Times New Roman" w:hAnsi="Times New Roman" w:eastAsia="宋体"/>
          <w:b/>
          <w:sz w:val="24"/>
        </w:rPr>
        <w:t>+0.205</w:t>
      </w:r>
      <w:r>
        <w:rPr>
          <w:rFonts w:ascii="Times New Roman" w:hAnsi="Times New Roman" w:eastAsia="宋体"/>
          <w:b w:val="0"/>
          <w:sz w:val="24"/>
        </w:rPr>
        <w:t xml:space="preserve">（0.730 vs 0.525），macro-F1 提高 </w:t>
      </w:r>
      <w:r>
        <w:rPr>
          <w:rFonts w:ascii="Times New Roman" w:hAnsi="Times New Roman" w:eastAsia="宋体"/>
          <w:b/>
          <w:sz w:val="24"/>
        </w:rPr>
        <w:t>+28.9 个百分点</w:t>
      </w:r>
      <w:r>
        <w:rPr>
          <w:rFonts w:ascii="Times New Roman" w:hAnsi="Times New Roman" w:eastAsia="宋体"/>
          <w:b w:val="0"/>
          <w:sz w:val="24"/>
        </w:rPr>
        <w:t>（0.825 vs 0.536）；</w:t>
      </w:r>
    </w:p>
    <w:p>
      <w:pPr>
        <w:pStyle w:val="ListBullet"/>
        <w:spacing w:line="480" w:lineRule="auto"/>
      </w:pPr>
      <w:r>
        <w:rPr>
          <w:rFonts w:ascii="Times New Roman" w:hAnsi="Times New Roman" w:eastAsia="宋体"/>
          <w:b w:val="0"/>
          <w:sz w:val="24"/>
        </w:rPr>
        <w:t>相对无检索无规则的 pure_llm，exact5 提高 2.6 倍以上；</w:t>
      </w:r>
    </w:p>
    <w:p>
      <w:pPr>
        <w:pStyle w:val="ListBullet"/>
        <w:spacing w:line="480" w:lineRule="auto"/>
      </w:pPr>
      <w:r>
        <w:rPr>
          <w:rFonts w:ascii="Times New Roman" w:hAnsi="Times New Roman" w:eastAsia="宋体"/>
          <w:b w:val="0"/>
          <w:sz w:val="24"/>
        </w:rPr>
        <w:t>种子间波动小（完整系统 exact5 SD=0.012），表明优势不是随机种子造成的偶然结果。</w:t>
      </w:r>
    </w:p>
    <w:p>
      <w:pPr>
        <w:spacing w:line="360" w:lineRule="auto" w:before="240" w:after="120"/>
        <w:outlineLvl w:val="1"/>
      </w:pPr>
      <w:r>
        <w:rPr>
          <w:rFonts w:ascii="Times New Roman" w:hAnsi="Times New Roman" w:eastAsia="黑体"/>
          <w:b/>
          <w:sz w:val="28"/>
        </w:rPr>
        <w:t>基线在细粒度类别上塌缩为多数类（图 2C）</w:t>
      </w:r>
    </w:p>
    <w:p>
      <w:pPr>
        <w:spacing w:line="480" w:lineRule="auto" w:before="0" w:after="0"/>
        <w:ind w:firstLine="480"/>
      </w:pPr>
      <w:r>
        <w:rPr>
          <w:rFonts w:ascii="Times New Roman" w:hAnsi="Times New Roman" w:eastAsia="宋体"/>
          <w:b w:val="0"/>
          <w:sz w:val="24"/>
        </w:rPr>
        <w:t>五分类 macro-F1 揭示了 exact3 看不出的失败模式：两个 RAG 基线 exact3 高达 0.920/0.905（甚至高于完整系统的 0.823），但 exact5 仅 0.61 左右、macro-F1 仅 ~0.52，它们把大多数陈述压缩到 endorse / report_option / against 三个高频类：</w:t>
      </w:r>
    </w:p>
    <w:p>
      <w:pPr>
        <w:pStyle w:val="ListBullet"/>
        <w:spacing w:line="480" w:lineRule="auto"/>
      </w:pPr>
      <w:r>
        <w:rPr>
          <w:rFonts w:ascii="Times New Roman" w:hAnsi="Times New Roman" w:eastAsia="宋体"/>
          <w:b w:val="0"/>
          <w:sz w:val="24"/>
        </w:rPr>
        <w:t>lightrag-only 预测分布（560 次）：endorse 162、report_option 168、against 159、endorse_option 68、</w:t>
      </w:r>
      <w:r>
        <w:rPr>
          <w:rFonts w:ascii="Times New Roman" w:hAnsi="Times New Roman" w:eastAsia="宋体"/>
          <w:b/>
          <w:sz w:val="24"/>
        </w:rPr>
        <w:t>conditional 仅 3</w:t>
      </w:r>
      <w:r>
        <w:rPr>
          <w:rFonts w:ascii="Times New Roman" w:hAnsi="Times New Roman" w:eastAsia="宋体"/>
          <w:b w:val="0"/>
          <w:sz w:val="24"/>
        </w:rPr>
        <w:t>；</w:t>
      </w:r>
    </w:p>
    <w:p>
      <w:pPr>
        <w:pStyle w:val="ListBullet"/>
        <w:spacing w:line="480" w:lineRule="auto"/>
      </w:pPr>
      <w:r>
        <w:rPr>
          <w:rFonts w:ascii="Times New Roman" w:hAnsi="Times New Roman" w:eastAsia="宋体"/>
          <w:b w:val="0"/>
          <w:sz w:val="24"/>
        </w:rPr>
        <w:t>naive_rag 同型：endorse 175、report_option 165、against 154、endorse_option 60、</w:t>
      </w:r>
      <w:r>
        <w:rPr>
          <w:rFonts w:ascii="Times New Roman" w:hAnsi="Times New Roman" w:eastAsia="宋体"/>
          <w:b/>
          <w:sz w:val="24"/>
        </w:rPr>
        <w:t>conditional 仅 6</w:t>
      </w:r>
      <w:r>
        <w:rPr>
          <w:rFonts w:ascii="Times New Roman" w:hAnsi="Times New Roman" w:eastAsia="宋体"/>
          <w:b w:val="0"/>
          <w:sz w:val="24"/>
        </w:rPr>
        <w:t>；</w:t>
      </w:r>
    </w:p>
    <w:p>
      <w:pPr>
        <w:pStyle w:val="ListBullet"/>
        <w:spacing w:line="480" w:lineRule="auto"/>
      </w:pPr>
      <w:r>
        <w:rPr>
          <w:rFonts w:ascii="Times New Roman" w:hAnsi="Times New Roman" w:eastAsia="宋体"/>
          <w:b w:val="0"/>
          <w:sz w:val="24"/>
        </w:rPr>
        <w:t>完整系统则实质性地使用全部五类：endorse 280、conditional 95、against 115、report_option 32、endorse_option 38。</w:t>
      </w:r>
    </w:p>
    <w:p>
      <w:pPr>
        <w:spacing w:line="480" w:lineRule="auto" w:before="0" w:after="0"/>
        <w:ind w:firstLine="480"/>
      </w:pPr>
      <w:r>
        <w:rPr>
          <w:rFonts w:ascii="Times New Roman" w:hAnsi="Times New Roman" w:eastAsia="宋体"/>
          <w:b w:val="0"/>
          <w:sz w:val="24"/>
        </w:rPr>
        <w:t>即基线系统在结构上无法表达"在指定条件下支持"（conditional）与"并列可选"（endorse_option）这两类对临床沟通最关键的细微动作；完整系统依靠规则层的确定性分类信号将这两类从几乎不用（0.5%–1.1%）提升到 17.0% 和 6.8% 的真实使用率，且用对了地方（κ 从 ~0.52 跃升至 0.730）。</w:t>
      </w:r>
    </w:p>
    <w:p>
      <w:pPr>
        <w:spacing w:line="360" w:lineRule="auto" w:before="240" w:after="120"/>
        <w:outlineLvl w:val="1"/>
      </w:pPr>
      <w:r>
        <w:rPr>
          <w:rFonts w:ascii="Times New Roman" w:hAnsi="Times New Roman" w:eastAsia="黑体"/>
          <w:b/>
          <w:sz w:val="28"/>
        </w:rPr>
        <w:t>against 类的表现</w:t>
      </w:r>
    </w:p>
    <w:p>
      <w:pPr>
        <w:spacing w:line="480" w:lineRule="auto" w:before="0" w:after="0"/>
        <w:ind w:firstLine="480"/>
      </w:pPr>
      <w:r>
        <w:rPr>
          <w:rFonts w:ascii="Times New Roman" w:hAnsi="Times New Roman" w:eastAsia="宋体"/>
          <w:b w:val="0"/>
          <w:sz w:val="24"/>
        </w:rPr>
        <w:t>against（建议反对）是临床安全上最重要的类别（金标准中占 22.3%）：</w:t>
      </w:r>
    </w:p>
    <w:p>
      <w:pPr>
        <w:pStyle w:val="ListBullet"/>
        <w:spacing w:line="480" w:lineRule="auto"/>
      </w:pPr>
      <w:r>
        <w:rPr>
          <w:rFonts w:ascii="Times New Roman" w:hAnsi="Times New Roman" w:eastAsia="宋体"/>
          <w:b w:val="0"/>
          <w:sz w:val="24"/>
        </w:rPr>
        <w:t xml:space="preserve">完整系统 against-F1 </w:t>
      </w:r>
      <w:r>
        <w:rPr>
          <w:rFonts w:ascii="Times New Roman" w:hAnsi="Times New Roman" w:eastAsia="宋体"/>
          <w:b/>
          <w:sz w:val="24"/>
        </w:rPr>
        <w:t>0.908±0.023</w:t>
      </w:r>
      <w:r>
        <w:rPr>
          <w:rFonts w:ascii="Times New Roman" w:hAnsi="Times New Roman" w:eastAsia="宋体"/>
          <w:b w:val="0"/>
          <w:sz w:val="24"/>
        </w:rPr>
        <w:t xml:space="preserve">（sensitivity 0.872±0.018，specificity </w:t>
      </w:r>
      <w:r>
        <w:rPr>
          <w:rFonts w:ascii="Times New Roman" w:hAnsi="Times New Roman" w:eastAsia="宋体"/>
          <w:b/>
          <w:sz w:val="24"/>
        </w:rPr>
        <w:t>0.986±0.010</w:t>
      </w:r>
      <w:r>
        <w:rPr>
          <w:rFonts w:ascii="Times New Roman" w:hAnsi="Times New Roman" w:eastAsia="宋体"/>
          <w:b w:val="0"/>
          <w:sz w:val="24"/>
        </w:rPr>
        <w:t>）；</w:t>
      </w:r>
    </w:p>
    <w:p>
      <w:pPr>
        <w:pStyle w:val="ListBullet"/>
        <w:spacing w:line="480" w:lineRule="auto"/>
      </w:pPr>
      <w:r>
        <w:rPr>
          <w:rFonts w:ascii="Times New Roman" w:hAnsi="Times New Roman" w:eastAsia="宋体"/>
          <w:b w:val="0"/>
          <w:sz w:val="24"/>
        </w:rPr>
        <w:t>lightrag-only F1 0.881（sensitivity 1.000 但 specificity 仅 0.922，把大量非 against 陈述也标成 against，属于"滥反对"）；</w:t>
      </w:r>
    </w:p>
    <w:p>
      <w:pPr>
        <w:pStyle w:val="ListBullet"/>
        <w:spacing w:line="480" w:lineRule="auto"/>
      </w:pPr>
      <w:r>
        <w:rPr>
          <w:rFonts w:ascii="Times New Roman" w:hAnsi="Times New Roman" w:eastAsia="宋体"/>
          <w:b w:val="0"/>
          <w:sz w:val="24"/>
        </w:rPr>
        <w:t>naive_rag F1 0.890（同型：sens 0.992 / spec 0.931）；</w:t>
      </w:r>
    </w:p>
    <w:p>
      <w:pPr>
        <w:pStyle w:val="ListBullet"/>
        <w:spacing w:line="480" w:lineRule="auto"/>
      </w:pPr>
      <w:r>
        <w:rPr>
          <w:rFonts w:ascii="Times New Roman" w:hAnsi="Times New Roman" w:eastAsia="宋体"/>
          <w:b w:val="0"/>
          <w:sz w:val="24"/>
        </w:rPr>
        <w:t>pure_llm F1 0.346（sens 0.416 / spec 0.720，敏感度与特异度均低）。</w:t>
      </w:r>
    </w:p>
    <w:p>
      <w:pPr>
        <w:spacing w:line="480" w:lineRule="auto" w:before="0" w:after="0"/>
        <w:ind w:firstLine="480"/>
      </w:pPr>
      <w:r>
        <w:rPr>
          <w:rFonts w:ascii="Times New Roman" w:hAnsi="Times New Roman" w:eastAsia="宋体"/>
          <w:b w:val="0"/>
          <w:sz w:val="24"/>
        </w:rPr>
        <w:t>完整系统用略低的 sensitivity 换取接近零的假阳性（specificity 0.986），这是规则硬约束"否决必须有据"带来的行为差异：系统只在规则或证据明确支持时输出 against。</w:t>
      </w:r>
    </w:p>
    <w:p>
      <w:pPr>
        <w:spacing w:line="360" w:lineRule="auto" w:before="240" w:after="120"/>
        <w:outlineLvl w:val="1"/>
      </w:pPr>
      <w:r>
        <w:rPr>
          <w:rFonts w:ascii="Times New Roman" w:hAnsi="Times New Roman" w:eastAsia="黑体"/>
          <w:b/>
          <w:sz w:val="28"/>
        </w:rPr>
        <w:t>生成器档位的补充实验</w:t>
      </w:r>
    </w:p>
    <w:p>
      <w:pPr>
        <w:spacing w:line="480" w:lineRule="auto" w:before="0" w:after="0"/>
        <w:ind w:firstLine="480"/>
      </w:pPr>
      <w:r>
        <w:rPr>
          <w:rFonts w:ascii="Times New Roman" w:hAnsi="Times New Roman" w:eastAsia="宋体"/>
          <w:b w:val="0"/>
          <w:sz w:val="24"/>
        </w:rPr>
        <w:t>将生成器从 GLM-5.3-Flash 换成 GLM-5.3 旗舰档重跑 pure_llm 与 naive_rag 完整基线（1,120 次运行）：</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76" w:lineRule="auto"/>
            </w:pPr>
            <w:r/>
            <w:r>
              <w:rPr>
                <w:rFonts w:ascii="Times New Roman" w:hAnsi="Times New Roman" w:eastAsia="宋体"/>
                <w:b/>
                <w:sz w:val="21"/>
              </w:rPr>
              <w:t>方法（生成器）</w:t>
            </w:r>
          </w:p>
        </w:tc>
        <w:tc>
          <w:tcPr>
            <w:tcW w:type="dxa" w:w="1662"/>
          </w:tcPr>
          <w:p>
            <w:pPr>
              <w:spacing w:line="276" w:lineRule="auto"/>
            </w:pPr>
            <w:r/>
            <w:r>
              <w:rPr>
                <w:rFonts w:ascii="Times New Roman" w:hAnsi="Times New Roman" w:eastAsia="宋体"/>
                <w:b/>
                <w:sz w:val="21"/>
              </w:rPr>
              <w:t>exact5</w:t>
            </w:r>
          </w:p>
        </w:tc>
        <w:tc>
          <w:tcPr>
            <w:tcW w:type="dxa" w:w="1662"/>
          </w:tcPr>
          <w:p>
            <w:pPr>
              <w:spacing w:line="276" w:lineRule="auto"/>
            </w:pPr>
            <w:r/>
            <w:r>
              <w:rPr>
                <w:rFonts w:ascii="Times New Roman" w:hAnsi="Times New Roman" w:eastAsia="宋体"/>
                <w:b/>
                <w:sz w:val="21"/>
              </w:rPr>
              <w:t>exact3</w:t>
            </w:r>
          </w:p>
        </w:tc>
        <w:tc>
          <w:tcPr>
            <w:tcW w:type="dxa" w:w="1662"/>
          </w:tcPr>
          <w:p>
            <w:pPr>
              <w:spacing w:line="276" w:lineRule="auto"/>
            </w:pPr>
            <w:r/>
            <w:r>
              <w:rPr>
                <w:rFonts w:ascii="Times New Roman" w:hAnsi="Times New Roman" w:eastAsia="宋体"/>
                <w:b/>
                <w:sz w:val="21"/>
              </w:rPr>
              <w:t>macro-F1</w:t>
            </w:r>
          </w:p>
        </w:tc>
        <w:tc>
          <w:tcPr>
            <w:tcW w:type="dxa" w:w="1662"/>
          </w:tcPr>
          <w:p>
            <w:pPr>
              <w:spacing w:line="276" w:lineRule="auto"/>
            </w:pPr>
            <w:r/>
            <w:r>
              <w:rPr>
                <w:rFonts w:ascii="Times New Roman" w:hAnsi="Times New Roman" w:eastAsia="宋体"/>
                <w:b/>
                <w:sz w:val="21"/>
              </w:rPr>
              <w:t>κ</w:t>
            </w:r>
          </w:p>
        </w:tc>
      </w:tr>
      <w:tr>
        <w:tc>
          <w:tcPr>
            <w:tcW w:type="dxa" w:w="1662"/>
          </w:tcPr>
          <w:p>
            <w:pPr>
              <w:spacing w:line="276" w:lineRule="auto"/>
            </w:pPr>
            <w:r/>
            <w:r>
              <w:rPr>
                <w:rFonts w:ascii="Times New Roman" w:hAnsi="Times New Roman" w:eastAsia="宋体"/>
                <w:b w:val="0"/>
                <w:sz w:val="21"/>
              </w:rPr>
              <w:t>naive_rag（GLM-5.3 旗舰）</w:t>
            </w:r>
          </w:p>
        </w:tc>
        <w:tc>
          <w:tcPr>
            <w:tcW w:type="dxa" w:w="1662"/>
          </w:tcPr>
          <w:p>
            <w:pPr>
              <w:spacing w:line="276" w:lineRule="auto"/>
            </w:pPr>
            <w:r/>
            <w:r>
              <w:rPr>
                <w:rFonts w:ascii="Times New Roman" w:hAnsi="Times New Roman" w:eastAsia="宋体"/>
                <w:b w:val="0"/>
                <w:sz w:val="21"/>
              </w:rPr>
              <w:t>0.538±0.012</w:t>
            </w:r>
          </w:p>
        </w:tc>
        <w:tc>
          <w:tcPr>
            <w:tcW w:type="dxa" w:w="1662"/>
          </w:tcPr>
          <w:p>
            <w:pPr>
              <w:spacing w:line="276" w:lineRule="auto"/>
            </w:pPr>
            <w:r/>
            <w:r>
              <w:rPr>
                <w:rFonts w:ascii="Times New Roman" w:hAnsi="Times New Roman" w:eastAsia="宋体"/>
                <w:b w:val="0"/>
                <w:sz w:val="21"/>
              </w:rPr>
              <w:t>0.936±0.032</w:t>
            </w:r>
          </w:p>
        </w:tc>
        <w:tc>
          <w:tcPr>
            <w:tcW w:type="dxa" w:w="1662"/>
          </w:tcPr>
          <w:p>
            <w:pPr>
              <w:spacing w:line="276" w:lineRule="auto"/>
            </w:pPr>
            <w:r/>
            <w:r>
              <w:rPr>
                <w:rFonts w:ascii="Times New Roman" w:hAnsi="Times New Roman" w:eastAsia="宋体"/>
                <w:b w:val="0"/>
                <w:sz w:val="21"/>
              </w:rPr>
              <w:t>0.498±0.020</w:t>
            </w:r>
          </w:p>
        </w:tc>
        <w:tc>
          <w:tcPr>
            <w:tcW w:type="dxa" w:w="1662"/>
          </w:tcPr>
          <w:p>
            <w:pPr>
              <w:spacing w:line="276" w:lineRule="auto"/>
            </w:pPr>
            <w:r/>
            <w:r>
              <w:rPr>
                <w:rFonts w:ascii="Times New Roman" w:hAnsi="Times New Roman" w:eastAsia="宋体"/>
                <w:b w:val="0"/>
                <w:sz w:val="21"/>
              </w:rPr>
              <w:t>0.450±0.016</w:t>
            </w:r>
          </w:p>
        </w:tc>
      </w:tr>
      <w:tr>
        <w:tc>
          <w:tcPr>
            <w:tcW w:type="dxa" w:w="1662"/>
          </w:tcPr>
          <w:p>
            <w:pPr>
              <w:spacing w:line="276" w:lineRule="auto"/>
            </w:pPr>
            <w:r/>
            <w:r>
              <w:rPr>
                <w:rFonts w:ascii="Times New Roman" w:hAnsi="Times New Roman" w:eastAsia="宋体"/>
                <w:b w:val="0"/>
                <w:sz w:val="21"/>
              </w:rPr>
              <w:t>pure_llm（GLM-5.3 旗舰）</w:t>
            </w:r>
          </w:p>
        </w:tc>
        <w:tc>
          <w:tcPr>
            <w:tcW w:type="dxa" w:w="1662"/>
          </w:tcPr>
          <w:p>
            <w:pPr>
              <w:spacing w:line="276" w:lineRule="auto"/>
            </w:pPr>
            <w:r/>
            <w:r>
              <w:rPr>
                <w:rFonts w:ascii="Times New Roman" w:hAnsi="Times New Roman" w:eastAsia="宋体"/>
                <w:b w:val="0"/>
                <w:sz w:val="21"/>
              </w:rPr>
              <w:t>0.288±0.013</w:t>
            </w:r>
          </w:p>
        </w:tc>
        <w:tc>
          <w:tcPr>
            <w:tcW w:type="dxa" w:w="1662"/>
          </w:tcPr>
          <w:p>
            <w:pPr>
              <w:spacing w:line="276" w:lineRule="auto"/>
            </w:pPr>
            <w:r/>
            <w:r>
              <w:rPr>
                <w:rFonts w:ascii="Times New Roman" w:hAnsi="Times New Roman" w:eastAsia="宋体"/>
                <w:b w:val="0"/>
                <w:sz w:val="21"/>
              </w:rPr>
              <w:t>0.489±0.030</w:t>
            </w:r>
          </w:p>
        </w:tc>
        <w:tc>
          <w:tcPr>
            <w:tcW w:type="dxa" w:w="1662"/>
          </w:tcPr>
          <w:p>
            <w:pPr>
              <w:spacing w:line="276" w:lineRule="auto"/>
            </w:pPr>
            <w:r/>
            <w:r>
              <w:rPr>
                <w:rFonts w:ascii="Times New Roman" w:hAnsi="Times New Roman" w:eastAsia="宋体"/>
                <w:b w:val="0"/>
                <w:sz w:val="21"/>
              </w:rPr>
              <w:t>0.255±0.024</w:t>
            </w:r>
          </w:p>
        </w:tc>
        <w:tc>
          <w:tcPr>
            <w:tcW w:type="dxa" w:w="1662"/>
          </w:tcPr>
          <w:p>
            <w:pPr>
              <w:spacing w:line="276" w:lineRule="auto"/>
            </w:pPr>
            <w:r/>
            <w:r>
              <w:rPr>
                <w:rFonts w:ascii="Times New Roman" w:hAnsi="Times New Roman" w:eastAsia="宋体"/>
                <w:b w:val="0"/>
                <w:sz w:val="21"/>
              </w:rPr>
              <w:t>0.132±0.013</w:t>
            </w:r>
          </w:p>
        </w:tc>
      </w:tr>
    </w:tbl>
    <w:p/>
    <w:p>
      <w:pPr>
        <w:spacing w:line="480" w:lineRule="auto" w:before="0" w:after="0"/>
        <w:ind w:firstLine="480"/>
      </w:pPr>
      <w:r>
        <w:rPr>
          <w:rFonts w:ascii="Times New Roman" w:hAnsi="Times New Roman" w:eastAsia="宋体"/>
          <w:b w:val="0"/>
          <w:sz w:val="24"/>
        </w:rPr>
        <w:t>naive_rag 的 exact5 反而从 0.605 降到 0.538、κ 从 0.512 降到 0.450：</w:t>
      </w:r>
      <w:r>
        <w:rPr>
          <w:rFonts w:ascii="Times New Roman" w:hAnsi="Times New Roman" w:eastAsia="宋体"/>
          <w:b/>
          <w:sz w:val="24"/>
        </w:rPr>
        <w:t>更强的生成器无法弥补架构缺陷</w:t>
      </w:r>
      <w:r>
        <w:rPr>
          <w:rFonts w:ascii="Times New Roman" w:hAnsi="Times New Roman" w:eastAsia="宋体"/>
          <w:b w:val="0"/>
          <w:sz w:val="24"/>
        </w:rPr>
        <w:t>，没有规则层分类信号与硬约束，旗舰模型同样塌缩为多数类。这说明方法间的差距来自架构设计而非生成器的选择。</w:t>
      </w:r>
    </w:p>
    <w:p>
      <w:pPr>
        <w:spacing w:line="360" w:lineRule="auto" w:before="240" w:after="120"/>
        <w:outlineLvl w:val="1"/>
      </w:pPr>
      <w:r>
        <w:rPr>
          <w:rFonts w:ascii="Times New Roman" w:hAnsi="Times New Roman" w:eastAsia="黑体"/>
          <w:b/>
          <w:sz w:val="28"/>
        </w:rPr>
        <w:t>领域分解（表 4）</w:t>
      </w:r>
    </w:p>
    <w:p>
      <w:pPr>
        <w:spacing w:line="480" w:lineRule="auto" w:before="0" w:after="0"/>
        <w:ind w:firstLine="480"/>
      </w:pPr>
      <w:r>
        <w:rPr>
          <w:rFonts w:ascii="Times New Roman" w:hAnsi="Times New Roman" w:eastAsia="宋体"/>
          <w:b w:val="0"/>
          <w:sz w:val="24"/>
        </w:rPr>
        <w:t>金标准三领域的 against 占比差异极大（indication 8.7% / procedure 14.7% / treatment planning 32.7%），完整系统在 against 密度最高的治疗规划领域同样保持整体优势；分领域详细混淆矩阵见补充材料。</w:t>
      </w:r>
    </w:p>
    <w:p>
      <w:pPr>
        <w:spacing w:line="360" w:lineRule="auto" w:before="240" w:after="120"/>
        <w:outlineLvl w:val="1"/>
      </w:pPr>
      <w:r>
        <w:rPr>
          <w:rFonts w:ascii="Times New Roman" w:hAnsi="Times New Roman" w:eastAsia="黑体"/>
          <w:b/>
          <w:sz w:val="28"/>
        </w:rPr>
        <w:t>演示病例（图 4、图 5）</w:t>
      </w:r>
    </w:p>
    <w:p>
      <w:pPr>
        <w:spacing w:line="480" w:lineRule="auto" w:before="0" w:after="0"/>
        <w:ind w:firstLine="480"/>
      </w:pPr>
      <w:r>
        <w:rPr>
          <w:rFonts w:ascii="Times New Roman" w:hAnsi="Times New Roman" w:eastAsia="宋体"/>
          <w:b w:val="0"/>
          <w:sz w:val="24"/>
        </w:rPr>
        <w:t xml:space="preserve">五个合成临床演示病例（限局性病灶穿刺方案、PSMA PET 后直接穿刺、bpMRI 不确定病灶、高危路径与预防、感染风险升级）端到端运行验证：全部输出正确五类动作、触发相应共识规则（含患者因素升级）、并给出带 Q 编号与证据块编号的可追溯引用链（案例报告见 </w:t>
      </w:r>
      <w:r>
        <w:rPr>
          <w:rFonts w:ascii="Times New Roman" w:hAnsi="Times New Roman" w:eastAsia="宋体"/>
          <w:b w:val="0"/>
          <w:sz w:val="24"/>
        </w:rPr>
        <w:t>outputs/demo_cases/</w:t>
      </w:r>
      <w:r>
        <w:rPr>
          <w:rFonts w:ascii="Times New Roman" w:hAnsi="Times New Roman" w:eastAsia="宋体"/>
          <w:b w:val="0"/>
          <w:sz w:val="24"/>
        </w:rPr>
        <w:t>）。</w:t>
      </w:r>
    </w:p>
    <w:p>
      <w:pPr>
        <w:spacing w:line="360" w:lineRule="auto" w:before="240" w:after="120"/>
        <w:outlineLvl w:val="1"/>
      </w:pPr>
      <w:r>
        <w:rPr>
          <w:rFonts w:ascii="Times New Roman" w:hAnsi="Times New Roman" w:eastAsia="黑体"/>
          <w:b/>
          <w:sz w:val="28"/>
        </w:rPr>
        <w:t>患者教育（定性演示）</w:t>
      </w:r>
    </w:p>
    <w:p>
      <w:pPr>
        <w:spacing w:line="480" w:lineRule="auto" w:before="0" w:after="0"/>
        <w:ind w:firstLine="480"/>
      </w:pPr>
      <w:r>
        <w:rPr>
          <w:rFonts w:ascii="Times New Roman" w:hAnsi="Times New Roman" w:eastAsia="宋体"/>
          <w:b w:val="0"/>
          <w:sz w:val="24"/>
        </w:rPr>
        <w:t>将泌尿外科医生日常面对的三类患者咨询以中文提交给教育模式（逐字记录、命中事实条目与检索溯源见补充材料 S7）。被问"穿刺报告是良性的，是不是以后都不用担心、可以不查 PSA 了"，系统用通俗语言回答：穿刺只取了所穿针数内的组织，体积小或隐匿的肿瘤可能漏诊，因此应按泌尿外科医生的安排继续 PSA 随访与体检，并以安全网段落收尾（PSA 升高或出现新症状时无需等待复诊、及时联系医生）。被问 ASAP 是什么意思，系统解释该发现为"可疑但尚未确诊"，说明其与孤立性 HGPIN 的区别，指出此类重复穿刺中有相当比例检出具临床意义的前列腺癌，并建议不要推迟推荐的重复穿刺。被问"怕疼能不能不做穿刺"，系统介绍了前列腺周围神经阻滞与全程局麻经会阴穿刺，说明拒绝医学上有指征的穿刺可能延误可治愈阶段的诊断，并提出镇静镇痛方案可作为选项。三段回答均引用了事实条目与证据块，均以引导患者回主管医生收尾；无一输出动作裁决，无一编造数字。这些是演示而非基准结果：未开展面向普通读者的可读性或理解度研究（见"限制"部分）。</w:t>
      </w:r>
    </w:p>
    <w:p>
      <w:pPr>
        <w:spacing w:line="360" w:lineRule="auto" w:before="240" w:after="120"/>
        <w:outlineLvl w:val="1"/>
      </w:pPr>
      <w:r>
        <w:rPr>
          <w:rFonts w:ascii="Times New Roman" w:hAnsi="Times New Roman" w:eastAsia="黑体"/>
          <w:b/>
          <w:sz w:val="28"/>
        </w:rPr>
        <w:t>Face validity：4 专家盲评（图 3）</w:t>
      </w:r>
    </w:p>
    <w:p>
      <w:pPr>
        <w:spacing w:line="480" w:lineRule="auto" w:before="0" w:after="0"/>
        <w:ind w:firstLine="480"/>
      </w:pPr>
      <w:r>
        <w:rPr>
          <w:rFonts w:ascii="Times New Roman" w:hAnsi="Times New Roman" w:eastAsia="宋体"/>
          <w:b w:val="0"/>
          <w:sz w:val="24"/>
        </w:rPr>
        <w:t>4 名独立专家（泌尿外科 2、影像 1、放疗 1，均未参与开发）对 5 个组合命题盲评。专家间一致性良好：原始一致率 17/20（3 例 4/4 全票，case2 3/4，case1 2:2 平票）；整体 Fleiss κ = −0.092 为小样本伪影（类别边际不均时的已知现象），并非一致性差。</w:t>
      </w:r>
      <w:r>
        <w:rPr>
          <w:rFonts w:ascii="Times New Roman" w:hAnsi="Times New Roman" w:eastAsia="宋体"/>
          <w:b/>
          <w:sz w:val="24"/>
        </w:rPr>
        <w:t>系统与专家多数票在 4 个有多数票的病例上全部一致（Cohen κ = 1.000，n = 4）</w:t>
      </w:r>
      <w:r>
        <w:rPr>
          <w:rFonts w:ascii="Times New Roman" w:hAnsi="Times New Roman" w:eastAsia="宋体"/>
          <w:b w:val="0"/>
          <w:sz w:val="24"/>
        </w:rPr>
        <w:t>。case1（是否在靶向+病灶旁穿刺基础上加做系统穿刺）2 名倾向 conditional 的专家给出的理由是治疗计划依赖（全腺治疗 vs 局灶治疗改变系统穿刺的增益），与系统证据链引用的"对侧系统穿刺检出率仅 0.3–4%（EV0024）"为同一考量。系统输出 4 项 Likert（清晰度/有用性/认可度/证据充分性）共 80 项评分全部 5/5（天花板效应，如实报告）。该样本量下所有一致性指标均为初步结果。</w:t>
      </w:r>
    </w:p>
    <w:p>
      <w:pPr>
        <w:spacing w:line="360" w:lineRule="auto" w:before="240" w:after="120"/>
        <w:outlineLvl w:val="1"/>
      </w:pPr>
      <w:r>
        <w:rPr>
          <w:rFonts w:ascii="Times New Roman" w:hAnsi="Times New Roman" w:eastAsia="黑体"/>
          <w:b/>
          <w:sz w:val="28"/>
        </w:rPr>
        <w:t>运行成本</w:t>
      </w:r>
    </w:p>
    <w:p>
      <w:pPr>
        <w:spacing w:line="480" w:lineRule="auto" w:before="0" w:after="0"/>
        <w:ind w:firstLine="480"/>
      </w:pPr>
      <w:r>
        <w:rPr>
          <w:rFonts w:ascii="Times New Roman" w:hAnsi="Times New Roman" w:eastAsia="宋体"/>
          <w:b w:val="0"/>
          <w:sz w:val="24"/>
        </w:rPr>
        <w:t>完整系统平均上下文 7,640 字符（约 2,500–3,000 token），在 8 并发下单条裁决端到端中位耗时约 20–40 秒（GLM-5.3-Flash 生成器），支持交互式使用（Streamlit 界面含决策报告与自由问答两个模块）。</w:t>
      </w:r>
    </w:p>
    <w:p>
      <w:pPr>
        <w:spacing w:line="360" w:lineRule="auto" w:before="240" w:after="120"/>
        <w:jc w:val="center"/>
        <w:outlineLvl w:val="0"/>
      </w:pPr>
      <w:r>
        <w:rPr>
          <w:rFonts w:ascii="Times New Roman" w:hAnsi="Times New Roman" w:eastAsia="黑体"/>
          <w:b/>
          <w:sz w:val="30"/>
        </w:rPr>
        <w:t>讨论 (Discussion)</w:t>
      </w:r>
    </w:p>
    <w:p>
      <w:pPr>
        <w:spacing w:line="480" w:lineRule="auto" w:before="0" w:after="0"/>
        <w:ind w:firstLine="480"/>
      </w:pPr>
      <w:r>
        <w:rPr>
          <w:rFonts w:ascii="Times New Roman" w:hAnsi="Times New Roman" w:eastAsia="宋体"/>
          <w:b w:val="0"/>
          <w:sz w:val="24"/>
        </w:rPr>
        <w:t>我们开发前列安汇的出发点，是前列腺穿刺活检路径中那些最缺乏标准化的决策点：系统穿刺与 MRI 靶向穿刺如何组合、经会阴还是经直肠入路、围术期预防要不要升级、穿刺结果如何衔接后续治疗。为了回答架构能在这条路径上做到什么，我们把生成器固定为同一个模型，以 112 条终版陈述逐一裁决的方式完成验证，完整系统的 exact5 达到 0.805（κ 0.730，against-F1 0.908，specificity 0.986，表 3），较最强基线高出 19.2 个百分点。不过在我们看来，比这组数字更能说明问题的是基线输掉的方式：两个 RAG 基线在粗粒度三类匹配上甚至不低于完整系统，可是在 1,120 次基线运行中，conditional 这个承载"在指定条件下支持"含义的动作只被主动输出过 9 次（图 2C）。也就是说，检索增强模型并非不知道共识的条文，而是不会随患者条件的变化收窄或限定自己的承诺；可穿刺决策里最常见的恰恰是这类条件性情形，比如影像阳性病灶之外要不要加做系统穿刺、感染危险因素升高后入路和预防怎么调整，答案几乎都是"视情况而定"。这里还有一层方法学上的提醒：基线的高 exact3 得自多数类膨胀，如果只报告粗粒度指标，缺乏约束的医学 RAG 系统会被系统性高估，这类系统的评估还是应当落在细粒度动作匹配上。</w:t>
      </w:r>
    </w:p>
    <w:p>
      <w:pPr>
        <w:spacing w:line="480" w:lineRule="auto" w:before="0" w:after="0"/>
        <w:ind w:firstLine="480"/>
      </w:pPr>
      <w:r>
        <w:rPr>
          <w:rFonts w:ascii="Times New Roman" w:hAnsi="Times New Roman" w:eastAsia="宋体"/>
          <w:b w:val="0"/>
          <w:sz w:val="24"/>
        </w:rPr>
        <w:t>分领域来看（表 4），反对性陈述的占比在三个领域间呈明显的梯度，适应证领域为 8.7%，操作领域为 14.7%，到治疗规划领域升至 32.7%。这个梯度并不意外：越靠近治疗决策，"不做某事"的分量就越重，此处的错误已经不只是多取几条针芯，而可能把患者引向与病灶空间分布不相称的局灶治疗，或者引向不当的分期评估；完整系统恰好在反对密度最高的治疗规划领域保持整体优势，说明规则层固化的正是临床医生实际权衡的那类约束。演示病例也显示这种覆盖贯穿全路径，从 PSMA PET 后直接穿刺这个共识专家组内部本就存在分歧的问题，到 bpMRI 不确定病灶的处理，再到感染危险因素触发经会阴入路与强化预防的患者因素升级，五个合成情境都给出了正确的五类动作和可追溯的证据链。conditional 与 against 的必要性，用一个常见情境就能说明：面对疑似局部进展期患者"要不要行扩展系统穿刺"的提问，通用大语言模型往往给出扩展 12 针的教科书式回答，而共识对这类患者的建议恰恰是把系统穿刺缩减到不超过 6 针，因为后续治疗已经不以根治为目标，按标准模板取材只是徒增并发症[1]。如果系统只会输出一个通用的"标准答案"，那它对这一个患者就是错的。</w:t>
      </w:r>
    </w:p>
    <w:p>
      <w:pPr>
        <w:spacing w:line="480" w:lineRule="auto" w:before="0" w:after="0"/>
        <w:ind w:firstLine="480"/>
      </w:pPr>
      <w:r>
        <w:rPr>
          <w:rFonts w:ascii="Times New Roman" w:hAnsi="Times New Roman" w:eastAsia="宋体"/>
          <w:b w:val="0"/>
          <w:sz w:val="24"/>
        </w:rPr>
        <w:t>规则层之所以能补上生成模型的这个缺口，是因为十六条共识规则先以确定性的类别先验提示仲裁器在何种患者条件下必须收窄承诺，再以硬约束禁止一切缺乏规则或证据支撑的否决与支持，conditional 与 endorse_option 因此从基线运行中近乎绝迹的类别变成常规输出。换用更强的旗舰档生成器后，naive_rag 的 exact5 不升反降（从 0.605 降到 0.538），这从反面排除了"更强的生成能力可以自行补足"的可能，我们据此认为细粒度动作空间的表达能力是内建于架构的性质，而不是生成器的附带品。这种能力当然有代价：完整系统平均约 7,640 字符的上下文是最强基线的 3 倍，换来的是 +19.2 个百分点的 exact5；对成本敏感的场景，纯规则即可裁决的组合本可以经门控短路跳过图谱检索，把这部分开支再摊薄一些。</w:t>
      </w:r>
    </w:p>
    <w:p>
      <w:pPr>
        <w:spacing w:line="480" w:lineRule="auto" w:before="0" w:after="0"/>
        <w:ind w:firstLine="480"/>
      </w:pPr>
      <w:r>
        <w:rPr>
          <w:rFonts w:ascii="Times New Roman" w:hAnsi="Times New Roman" w:eastAsia="宋体"/>
          <w:b w:val="0"/>
          <w:sz w:val="24"/>
        </w:rPr>
        <w:t>放在现有文献里，本研究与医学 RAG 基准（如 MIRAGE[9]）回答的是两个不同的问题：前者衡量模型知道多少，我们衡量的是系统能否把一份共识执行成可审计的临床动作。检索增强生成确实能把输出锚定到外部语料[8]，但没有任何机制去拦截一条与指南相悖而措辞流畅的推荐，两个基线滥报反对和 conditional 静默的行为恰好为这个缺陷画了像。这也解释了 LightRAG[10] 在本架构中的位置：它专注承担证据引擎，分类和约束交给规则层；与传统规则型 CDSS[4] 相比，人工审计被压缩到小而关键的规则层面，长尾知识交由图谱。</w:t>
      </w:r>
    </w:p>
    <w:p>
      <w:pPr>
        <w:spacing w:line="480" w:lineRule="auto" w:before="0" w:after="0"/>
        <w:ind w:firstLine="480"/>
      </w:pPr>
      <w:r>
        <w:rPr>
          <w:rFonts w:ascii="Times New Roman" w:hAnsi="Times New Roman" w:eastAsia="宋体"/>
          <w:b w:val="0"/>
          <w:sz w:val="24"/>
        </w:rPr>
        <w:t>基准之外，4 名未参与开发的专家的独立盲评提供了第二条证据，盲评关心的除了结论对不对，还有理由经不经得起复核：专家对组合命题的裁决与系统输出在全部 4 个有多数票的病例上一致（Cohen κ = 1.000，图 3），而在唯一平票的病例里，两位专家对"是否在靶向加病灶旁穿刺的基础上加做系统穿刺"持保留态度，他们援引的理由，即加做系统穿刺的增益取决于治疗意图是全腺还是局灶，与系统证据链引用的对侧系统穿刺检出率仅 0.3–4%（EV0024）实际上是同一件事。换句话说，系统给出的不是黑箱式的结论，而是能够被专家独立复核的推理材料。当然，专家间 Fleiss κ 为负属小样本下类别边际不均的已知伪影，Likert 评分又全部触顶，这条证据只能算初步支持，样本量的局限已在"限制"部分详述。</w:t>
      </w:r>
    </w:p>
    <w:p>
      <w:pPr>
        <w:spacing w:line="480" w:lineRule="auto" w:before="0" w:after="0"/>
        <w:ind w:firstLine="480"/>
      </w:pPr>
      <w:r>
        <w:rPr>
          <w:rFonts w:ascii="Times New Roman" w:hAnsi="Times New Roman" w:eastAsia="宋体"/>
          <w:b w:val="0"/>
          <w:sz w:val="24"/>
        </w:rPr>
        <w:t>对临床部署来说，我们认为最值得强调的是否决行为背后两类错误代价的不对称。在穿刺语境下，一次缺乏证据支撑的"支持"，可能意味着在影像质量不达标时贸然活检、对有感染危险因素的患者不加防范地行经直肠操作，或者按与治疗意图不相称的方案为规划局灶治疗的患者取材，后果直接落在并发症和治疗错配上；而一次保守的"反对"，至多多一次影像复查或多学科会诊。系统因此优先压低假阳性，specificity 0.986 正是"否决必须有规则或证据支撑"这一机制要求的自然结果，靠提示词调教很难稳定做到。除此之外，每条输出携带的陈述编号、触发规则与证据块编号让错误可以定位到具体证据，索引构建时记录的规则文件 SHA-256 和界面上的实时校验则防止知识库与规则库悄悄脱钩，这三件事合起来，临床治理审计才是纯 LLM 管线在机制上做不到的。</w:t>
      </w:r>
    </w:p>
    <w:p>
      <w:pPr>
        <w:spacing w:line="480" w:lineRule="auto" w:before="0" w:after="0"/>
        <w:ind w:firstLine="480"/>
      </w:pPr>
      <w:r>
        <w:rPr>
          <w:rFonts w:ascii="Times New Roman" w:hAnsi="Times New Roman" w:eastAsia="宋体"/>
          <w:b w:val="0"/>
          <w:sz w:val="24"/>
        </w:rPr>
        <w:t>穿刺路径的另一半在患者一侧。解释穿刺为什么必要、报告意味着什么，这类对话耗时且难以计价，在超负荷的门诊里最先被让位，而这一不对称正是教育型患者智能体的出发点（如基于电子病历的前列腺癌教育智能体[12]）。教育问答不需要五类动作的粒度，也就不必在生成层复制医生侧的硬约束，前列安汇的做法是复用同一冻结证据链，叠加十条逐项可溯源的事实库，以提示词要求通俗语言、禁止编造统计数字，并包含"什么时候必须就医"的安全网段落；内容对准的是门诊里最容易漏掉的要点，比如扩展穿刺方案下的孤立性 HGPIN 通常不需要早期重复穿刺、ASAP 后的重复穿刺因为相当比例能检出具临床意义的癌而不应推迟、良性报告绝不意味着随访终结。这个模式有意不输出动作裁决，只引用证据并把患者引回主管医生，让患者的回答也能像医生的裁决一样接受审计；目前它以三段逐字咨询完成了定性演示，可读性和效果评估还是未来工作。</w:t>
      </w:r>
    </w:p>
    <w:p>
      <w:pPr>
        <w:spacing w:line="480" w:lineRule="auto" w:before="0" w:after="0"/>
        <w:ind w:firstLine="480"/>
      </w:pPr>
      <w:r>
        <w:rPr>
          <w:rFonts w:ascii="Times New Roman" w:hAnsi="Times New Roman" w:eastAsia="宋体"/>
          <w:b w:val="0"/>
          <w:sz w:val="24"/>
        </w:rPr>
        <w:t>沿此向前，通向临床试点的路径大体清楚：多中心扩展专家盲评、以真实病例开展前瞻注册研究、经 FHIR 对接 EMR、生成器本地化部署，以及在监督下评估教育模式的可读性、理解度和焦虑缓解。其中规则库向 EAU/AUA 指南其他章节的移植，意义超出本系统本身，因为它检验的是"陈述级共识可执行化"这套方法的普适性。ProBIOPSY[1] 只是第一个被操作化的共识，任何以明确陈述为终点的国际共识，原则上都可以经由"规则先验、证据检索、约束仲裁"的相同路径，从供人查阅的静态文本变成决策点上可执行、可审计的清单；如果后续的移植研究能够成立，这项工作留下的就不只是一个穿刺决策系统，更是一套把共识文本变成可审计软件的做法。</w:t>
      </w:r>
    </w:p>
    <w:p>
      <w:pPr>
        <w:spacing w:line="360" w:lineRule="auto" w:before="240" w:after="120"/>
        <w:jc w:val="center"/>
        <w:outlineLvl w:val="0"/>
      </w:pPr>
      <w:r>
        <w:rPr>
          <w:rFonts w:ascii="Times New Roman" w:hAnsi="Times New Roman" w:eastAsia="黑体"/>
          <w:b/>
          <w:sz w:val="30"/>
        </w:rPr>
        <w:t>限制 (Limitations)</w:t>
      </w:r>
    </w:p>
    <w:p>
      <w:pPr>
        <w:spacing w:line="480" w:lineRule="auto" w:before="0" w:after="0"/>
        <w:ind w:firstLine="480"/>
      </w:pPr>
      <w:r>
        <w:rPr>
          <w:rFonts w:ascii="Times New Roman" w:hAnsi="Times New Roman" w:eastAsia="宋体"/>
          <w:b w:val="0"/>
          <w:sz w:val="24"/>
        </w:rPr>
        <w:t>解读本研究时，最根本的限制关乎其性质：语料与金标准同源于 ProBIOPSY 共识[1]，因此本研究验证的是指南一致性（consensus conformance），而非独立的临床效度。系统在构建时未接触任何动作标签，规则库也仅覆盖 16 个主题，但"见过陈述文本"的偏置无法排除，前瞻性外部验证是必要的下一步。其次是 conditional 的残留弱点：recall 仅 0.51，185 次金标准为 conditional 的运行中 74 次被预测为 endorse，错误偏向过宽的支持；若无规则层硬约束兜底，这类错误会向"过度支持"漂移，临床试点前需要类别校准。</w:t>
      </w:r>
    </w:p>
    <w:p>
      <w:pPr>
        <w:spacing w:line="480" w:lineRule="auto" w:before="0" w:after="0"/>
        <w:ind w:firstLine="480"/>
      </w:pPr>
      <w:r>
        <w:rPr>
          <w:rFonts w:ascii="Times New Roman" w:hAnsi="Times New Roman" w:eastAsia="宋体"/>
          <w:b w:val="0"/>
          <w:sz w:val="24"/>
        </w:rPr>
        <w:t>证据规模与覆盖范围构成第二类限制。4 名专家对 5 个组合命题的盲评只支持初步 face validity：该样本量下一致性统计本就不稳定（Fleiss κ 为负即属伪影），Likert 评分全部触顶，且为单中心专家组。51 类情境原型与 5 个演示病例均为合成，未覆盖真实合并症的复杂度。基准在 GLM 家族内完成，跨厂商生成器的泛化未测；112 条陈述覆盖 51×54 组合空间的高频区域，长尾覆盖未量化。工程上，完整系统 7,640 字符的平均上下文约为最强基线的 3 倍，是换取 +19.2 个百分点 exact5 的成本，规则门控短路可进一步摊薄；证据库为英文而界面与情境注册表为中文，跨语言迁移未测。患者教育模式仅以三段逐字咨询完成定性演示，尚未作为干预加以评估：未开展可读性评分、理解度测试或患者使用研究，10 条事实库覆盖常见问题而非患者关切的全部空间。</w:t>
      </w:r>
    </w:p>
    <w:p>
      <w:pPr>
        <w:spacing w:line="360" w:lineRule="auto" w:before="240" w:after="120"/>
        <w:jc w:val="center"/>
        <w:outlineLvl w:val="0"/>
      </w:pPr>
      <w:r>
        <w:rPr>
          <w:rFonts w:ascii="Times New Roman" w:hAnsi="Times New Roman" w:eastAsia="黑体"/>
          <w:b/>
          <w:sz w:val="30"/>
        </w:rPr>
        <w:t>结论 (Conclusion)</w:t>
      </w:r>
    </w:p>
    <w:p>
      <w:pPr>
        <w:spacing w:line="480" w:lineRule="auto" w:before="0" w:after="0"/>
        <w:ind w:firstLine="480"/>
      </w:pPr>
      <w:r>
        <w:rPr>
          <w:rFonts w:ascii="Times New Roman" w:hAnsi="Times New Roman" w:eastAsia="宋体"/>
          <w:b w:val="0"/>
          <w:sz w:val="24"/>
        </w:rPr>
        <w:t>前列安汇表明，把确定性规则硬约束、知识图谱证据检索与 LLM 仲裁按"各补其短"的原则串联，可以在 ProBIOPSY 国际共识的金标准上把细粒度临床决策准确率提升到可临床试点的水平（exact5 0.805，κ 0.730，against-F1 0.908），且每条输出全程可溯；同一冻结证据链亦能以通俗、可审计的方式服务患者教育（定性演示）。在医学决策支持系统中，当前的主要杠杆是架构，而不是更大的模型；本研究的效度边界为共识一致性，其独立临床效度仍待前瞻性外部验证确认。</w:t>
      </w:r>
    </w:p>
    <w:p>
      <w:pPr>
        <w:spacing w:line="360" w:lineRule="auto" w:before="240" w:after="120"/>
        <w:outlineLvl w:val="1"/>
      </w:pPr>
      <w:r>
        <w:rPr>
          <w:rFonts w:ascii="Times New Roman" w:hAnsi="Times New Roman" w:eastAsia="黑体"/>
          <w:b/>
          <w:sz w:val="28"/>
        </w:rPr>
        <w:t>数据与代码可用性 (Data Availability)</w:t>
      </w:r>
    </w:p>
    <w:p>
      <w:pPr>
        <w:spacing w:line="480" w:lineRule="auto" w:before="0" w:after="0"/>
        <w:ind w:firstLine="480"/>
      </w:pPr>
      <w:r>
        <w:rPr>
          <w:rFonts w:ascii="Times New Roman" w:hAnsi="Times New Roman" w:eastAsia="宋体"/>
          <w:b w:val="0"/>
          <w:sz w:val="24"/>
        </w:rPr>
        <w:t>规则库（configs/rules.yaml）、双实体注册表（data/seed/entities_a.csv, entities_b.csv）、证据块库（data/seed/evidence_chunks.jsonl，357 条）、患者教育事实库（data/seed/patient_education_facts.csv，10 条逐项可溯源）、患者教育逐字咨询记录（outputs/demo_cases/patient_edu/）、金标准标注（data/seed/probiopsy_statements.csv，112 条）、全部 2,240 条原始预测记录（outputs/baseline_predictions.jsonl，含每次运行的上下文字符数与检索块数）、旗舰档补充数据（outputs/baseline_predictions_glm53.jsonl）、评估脚本（scripts/evaluate.py）与图表源数据（outputs/figures/source_data/）随代码仓库发布：https://github.com/xuzekun6251/probiopsy-rag（Zenodo 归档：10.5281/zenodo.22898439）。</w:t>
      </w:r>
    </w:p>
    <w:p>
      <w:pPr>
        <w:spacing w:line="360" w:lineRule="auto" w:before="240" w:after="120"/>
        <w:outlineLvl w:val="1"/>
      </w:pPr>
      <w:r>
        <w:rPr>
          <w:rFonts w:ascii="Times New Roman" w:hAnsi="Times New Roman" w:eastAsia="黑体"/>
          <w:b/>
          <w:sz w:val="28"/>
        </w:rPr>
        <w:t>伦理声明 (Ethics)</w:t>
      </w:r>
    </w:p>
    <w:p>
      <w:pPr>
        <w:spacing w:line="480" w:lineRule="auto" w:before="0" w:after="0"/>
        <w:ind w:firstLine="480"/>
      </w:pPr>
      <w:r>
        <w:rPr>
          <w:rFonts w:ascii="Times New Roman" w:hAnsi="Times New Roman" w:eastAsia="宋体"/>
          <w:b w:val="0"/>
          <w:sz w:val="24"/>
        </w:rPr>
        <w:t>本研究的计算评估不涉及患者数据或生物样本：知识库语料与验证金标准均来自公开出版的 ProBIOPSY 共识，演示病例为合成情境；四专家盲评为匿名、自愿参与，不含任何可识别个人信息。详见 Manuscript_Ethics_Statement.md。</w:t>
      </w:r>
    </w:p>
    <w:p>
      <w:pPr>
        <w:spacing w:line="360" w:lineRule="auto" w:before="240" w:after="120"/>
        <w:outlineLvl w:val="1"/>
      </w:pPr>
      <w:r>
        <w:rPr>
          <w:rFonts w:ascii="Times New Roman" w:hAnsi="Times New Roman" w:eastAsia="黑体"/>
          <w:b/>
          <w:sz w:val="28"/>
        </w:rPr>
        <w:t>资金 (Funding)</w:t>
      </w:r>
    </w:p>
    <w:p>
      <w:pPr>
        <w:spacing w:line="480" w:lineRule="auto" w:before="0" w:after="0"/>
        <w:ind w:firstLine="480"/>
      </w:pPr>
      <w:r>
        <w:rPr>
          <w:rFonts w:ascii="Times New Roman" w:hAnsi="Times New Roman" w:eastAsia="宋体"/>
          <w:b w:val="0"/>
          <w:sz w:val="24"/>
        </w:rPr>
        <w:t>本研究未接受外部资助</w:t>
      </w:r>
    </w:p>
    <w:p>
      <w:pPr>
        <w:spacing w:line="360" w:lineRule="auto" w:before="240" w:after="120"/>
        <w:outlineLvl w:val="1"/>
      </w:pPr>
      <w:r>
        <w:rPr>
          <w:rFonts w:ascii="Times New Roman" w:hAnsi="Times New Roman" w:eastAsia="黑体"/>
          <w:b/>
          <w:sz w:val="28"/>
        </w:rPr>
        <w:t>利益冲突 (Conflict of Interest)</w:t>
      </w:r>
    </w:p>
    <w:p>
      <w:pPr>
        <w:spacing w:line="480" w:lineRule="auto" w:before="0" w:after="0"/>
        <w:ind w:firstLine="480"/>
      </w:pPr>
      <w:r>
        <w:rPr>
          <w:rFonts w:ascii="Times New Roman" w:hAnsi="Times New Roman" w:eastAsia="宋体"/>
          <w:b w:val="0"/>
          <w:sz w:val="24"/>
        </w:rPr>
        <w:t>所有作者声明无利益冲突。</w:t>
      </w:r>
    </w:p>
    <w:p>
      <w:pPr>
        <w:spacing w:line="360" w:lineRule="auto" w:before="240" w:after="120"/>
        <w:outlineLvl w:val="1"/>
      </w:pPr>
      <w:r>
        <w:rPr>
          <w:rFonts w:ascii="Times New Roman" w:hAnsi="Times New Roman" w:eastAsia="黑体"/>
          <w:b/>
          <w:sz w:val="28"/>
        </w:rPr>
        <w:t>作者贡献 (CRediT)</w:t>
      </w:r>
    </w:p>
    <w:p>
      <w:pPr>
        <w:pStyle w:val="ListBullet"/>
        <w:spacing w:line="480" w:lineRule="auto"/>
      </w:pPr>
      <w:r>
        <w:rPr>
          <w:rFonts w:ascii="Times New Roman" w:hAnsi="Times New Roman" w:eastAsia="宋体"/>
          <w:b w:val="0"/>
          <w:sz w:val="24"/>
        </w:rPr>
        <w:t>徐泽坤：概念化、方法学、软件、验证、初稿撰写</w:t>
      </w:r>
    </w:p>
    <w:p>
      <w:pPr>
        <w:spacing w:line="360" w:lineRule="auto" w:before="240" w:after="120"/>
        <w:outlineLvl w:val="1"/>
      </w:pPr>
      <w:r>
        <w:rPr>
          <w:rFonts w:ascii="Times New Roman" w:hAnsi="Times New Roman" w:eastAsia="黑体"/>
          <w:b/>
          <w:sz w:val="28"/>
        </w:rPr>
        <w:t>图表清单</w:t>
      </w:r>
    </w:p>
    <w:p>
      <w:pPr>
        <w:pStyle w:val="ListBullet"/>
        <w:spacing w:line="480" w:lineRule="auto"/>
      </w:pPr>
      <w:r>
        <w:rPr>
          <w:rFonts w:ascii="Times New Roman" w:hAnsi="Times New Roman" w:eastAsia="宋体"/>
          <w:b/>
          <w:sz w:val="24"/>
        </w:rPr>
        <w:t>图 1</w:t>
      </w:r>
      <w:r>
        <w:rPr>
          <w:rFonts w:ascii="Times New Roman" w:hAnsi="Times New Roman" w:eastAsia="宋体"/>
          <w:b w:val="0"/>
          <w:sz w:val="24"/>
        </w:rPr>
        <w:t xml:space="preserve"> 系统架构（outputs/figures/figure1_architecture.*）</w:t>
      </w:r>
    </w:p>
    <w:p>
      <w:pPr>
        <w:pStyle w:val="ListBullet"/>
        <w:spacing w:line="480" w:lineRule="auto"/>
      </w:pPr>
      <w:r>
        <w:rPr>
          <w:rFonts w:ascii="Times New Roman" w:hAnsi="Times New Roman" w:eastAsia="宋体"/>
          <w:b/>
          <w:sz w:val="24"/>
        </w:rPr>
        <w:t>图 2</w:t>
      </w:r>
      <w:r>
        <w:rPr>
          <w:rFonts w:ascii="Times New Roman" w:hAnsi="Times New Roman" w:eastAsia="宋体"/>
          <w:b w:val="0"/>
          <w:sz w:val="24"/>
        </w:rPr>
        <w:t xml:space="preserve"> 多方法多种子性能对比（outputs/figures/figure2_performance.*）</w:t>
      </w:r>
    </w:p>
    <w:p>
      <w:pPr>
        <w:pStyle w:val="ListBullet"/>
        <w:spacing w:line="480" w:lineRule="auto"/>
      </w:pPr>
      <w:r>
        <w:rPr>
          <w:rFonts w:ascii="Times New Roman" w:hAnsi="Times New Roman" w:eastAsia="宋体"/>
          <w:b/>
          <w:sz w:val="24"/>
        </w:rPr>
        <w:t>图 3</w:t>
      </w:r>
      <w:r>
        <w:rPr>
          <w:rFonts w:ascii="Times New Roman" w:hAnsi="Times New Roman" w:eastAsia="宋体"/>
          <w:b w:val="0"/>
          <w:sz w:val="24"/>
        </w:rPr>
        <w:t xml:space="preserve"> 四专家盲评一致性（outputs/figures/figure3_expert_agreement.*）</w:t>
      </w:r>
    </w:p>
    <w:p>
      <w:pPr>
        <w:pStyle w:val="ListBullet"/>
        <w:spacing w:line="480" w:lineRule="auto"/>
      </w:pPr>
      <w:r>
        <w:rPr>
          <w:rFonts w:ascii="Times New Roman" w:hAnsi="Times New Roman" w:eastAsia="宋体"/>
          <w:b/>
          <w:sz w:val="24"/>
        </w:rPr>
        <w:t>图 4</w:t>
      </w:r>
      <w:r>
        <w:rPr>
          <w:rFonts w:ascii="Times New Roman" w:hAnsi="Times New Roman" w:eastAsia="宋体"/>
          <w:b w:val="0"/>
          <w:sz w:val="24"/>
        </w:rPr>
        <w:t xml:space="preserve"> 演示病例报告（outputs/figures/figure4_demo_case.*）</w:t>
      </w:r>
    </w:p>
    <w:p>
      <w:pPr>
        <w:pStyle w:val="ListBullet"/>
        <w:spacing w:line="480" w:lineRule="auto"/>
      </w:pPr>
      <w:r>
        <w:rPr>
          <w:rFonts w:ascii="Times New Roman" w:hAnsi="Times New Roman" w:eastAsia="宋体"/>
          <w:b/>
          <w:sz w:val="24"/>
        </w:rPr>
        <w:t>图 5</w:t>
      </w:r>
      <w:r>
        <w:rPr>
          <w:rFonts w:ascii="Times New Roman" w:hAnsi="Times New Roman" w:eastAsia="宋体"/>
          <w:b w:val="0"/>
          <w:sz w:val="24"/>
        </w:rPr>
        <w:t xml:space="preserve"> 推理链追踪（outputs/figures/figure5_reasoning_trace.*）</w:t>
      </w:r>
    </w:p>
    <w:p>
      <w:pPr>
        <w:pStyle w:val="ListBullet"/>
        <w:spacing w:line="480" w:lineRule="auto"/>
      </w:pPr>
      <w:r>
        <w:rPr>
          <w:rFonts w:ascii="Times New Roman" w:hAnsi="Times New Roman" w:eastAsia="宋体"/>
          <w:b/>
          <w:sz w:val="24"/>
        </w:rPr>
        <w:t>表 1</w:t>
      </w:r>
      <w:r>
        <w:rPr>
          <w:rFonts w:ascii="Times New Roman" w:hAnsi="Times New Roman" w:eastAsia="宋体"/>
          <w:b w:val="0"/>
          <w:sz w:val="24"/>
        </w:rPr>
        <w:t xml:space="preserve"> 双实体注册表摘要（outputs/tables/table1_registry.md）</w:t>
      </w:r>
    </w:p>
    <w:p>
      <w:pPr>
        <w:pStyle w:val="ListBullet"/>
        <w:spacing w:line="480" w:lineRule="auto"/>
      </w:pPr>
      <w:r>
        <w:rPr>
          <w:rFonts w:ascii="Times New Roman" w:hAnsi="Times New Roman" w:eastAsia="宋体"/>
          <w:b/>
          <w:sz w:val="24"/>
        </w:rPr>
        <w:t>表 2</w:t>
      </w:r>
      <w:r>
        <w:rPr>
          <w:rFonts w:ascii="Times New Roman" w:hAnsi="Times New Roman" w:eastAsia="宋体"/>
          <w:b w:val="0"/>
          <w:sz w:val="24"/>
        </w:rPr>
        <w:t xml:space="preserve"> 规则清单（outputs/tables/table2_rules.md）</w:t>
      </w:r>
    </w:p>
    <w:p>
      <w:pPr>
        <w:pStyle w:val="ListBullet"/>
        <w:spacing w:line="480" w:lineRule="auto"/>
      </w:pPr>
      <w:r>
        <w:rPr>
          <w:rFonts w:ascii="Times New Roman" w:hAnsi="Times New Roman" w:eastAsia="宋体"/>
          <w:b/>
          <w:sz w:val="24"/>
        </w:rPr>
        <w:t>表 3</w:t>
      </w:r>
      <w:r>
        <w:rPr>
          <w:rFonts w:ascii="Times New Roman" w:hAnsi="Times New Roman" w:eastAsia="宋体"/>
          <w:b w:val="0"/>
          <w:sz w:val="24"/>
        </w:rPr>
        <w:t xml:space="preserve"> 性能矩阵（outputs/tables/table3_performance.md）</w:t>
      </w:r>
    </w:p>
    <w:p>
      <w:pPr>
        <w:pStyle w:val="ListBullet"/>
        <w:spacing w:line="480" w:lineRule="auto"/>
      </w:pPr>
      <w:r>
        <w:rPr>
          <w:rFonts w:ascii="Times New Roman" w:hAnsi="Times New Roman" w:eastAsia="宋体"/>
          <w:b/>
          <w:sz w:val="24"/>
        </w:rPr>
        <w:t>表 4</w:t>
      </w:r>
      <w:r>
        <w:rPr>
          <w:rFonts w:ascii="Times New Roman" w:hAnsi="Times New Roman" w:eastAsia="宋体"/>
          <w:b w:val="0"/>
          <w:sz w:val="24"/>
        </w:rPr>
        <w:t xml:space="preserve"> 金标准领域×动作分布（outputs/tables/table4_validation.md）</w:t>
      </w:r>
    </w:p>
    <w:sectPr w:rsidR="00FC693F" w:rsidRPr="0006063C" w:rsidSect="00034616">
      <w:pgSz w:w="11906" w:h="16838"/>
      <w:pgMar w:top="1440" w:right="1797" w:bottom="1440" w:left="1797"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