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250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is a complex, multi-step procedure with insufficient standardisation of patient selection, instruments, technique, and strategy. Whether a single biopsy strategy suffices to plan all localised treatments is unclear, and decisions diverge with operator experience. A standardised, consensus-based biopsy checklist stored in a computer and callable at the point of need would standardise practice. Artificial intelligence shows promise, but accuracy limits applications: large language models (LLMs) hallucinate and lack traceability, and retrieval-augmented generation (RAG) offers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agent turning the ProBIOPSY consensus into such an executable checklist: (1) a deterministic rule engine (16 rules, cross-checked against EAU and AUA/ASTRO guidelines) emitting hard constraints; (2) retrieval over a LightRAG knowledge graph (357 chunks, 1,864 entities, 3,078 relations); (3) an LLM arbiter emitting one of five executable actions with statement-level citations. Benchmark: four architectures × five seeds × 112 statements (2,240 runs; fixed generator, GLM-5.3-Flash).</w:t>
      </w:r>
    </w:p>
    <w:p>
      <w:r>
        <w:rPr>
          <w:rFonts w:ascii="Times New Roman" w:hAnsi="Times New Roman"/>
          <w:b/>
          <w:i w:val="0"/>
        </w:rPr>
        <w:t>Results:</w:t>
      </w:r>
      <w:r>
        <w:rPr>
          <w:rFonts w:ascii="Times New Roman" w:hAnsi="Times New Roman"/>
          <w:b w:val="0"/>
          <w:i w:val="0"/>
        </w:rPr>
        <w:t xml:space="preserve"> The agent achieved exact-5 accuracy 0.805±0.012 (5 seeds), Cohen's κ 0.730±0.016, and against-class F1 0.908±0.023, versus LightRAG-only 0.613/0.536/0.525/0.881 (best), naive RAG 0.605/0.514/0.512/0.890, and pure LLM 0.304/0.254/0.079/0.346; all p ≤ 0.001, FDR-adjusted. Retrieval baselines collapsed onto frequent classes (conditional: 0.8% of baseline runs versus 17.0% for the agent). Flagship generators did not rescue naive RAG (0.605→0.538).</w:t>
      </w:r>
    </w:p>
    <w:p>
      <w:r>
        <w:rPr>
          <w:rFonts w:ascii="Times New Roman" w:hAnsi="Times New Roman"/>
          <w:b/>
          <w:i w:val="0"/>
        </w:rPr>
        <w:t>Conclusions:</w:t>
      </w:r>
      <w:r>
        <w:rPr>
          <w:rFonts w:ascii="Times New Roman" w:hAnsi="Times New Roman"/>
          <w:b w:val="0"/>
          <w:i w:val="0"/>
        </w:rPr>
        <w:t xml:space="preserve"> QianLieAnHui standardises biopsy decisions across the entire pathway (indication, procedure, treatment planning) at accuracy suitable for pilot evaluation. Architecture, not generator tier, was the dominant lever; every output traces to consensus statements and evidence chunks for auditable, standardised practice.</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and population-level PSA screening reduces disease-specific mortality [3] while making biopsy the cornerstone of the diagnostic pathway [4]. The procedure itself, however, is a complex, multi-step intervention that remains insufficiently standardised: patient selection, equipment, technique, and biopsy strategy vary across and within institutions, and the ProBIOPSY consensus documented substantial international practice variation [4]. Whether a single biopsy strategy can provide enough information to plan every type of localised treatment is itself unresolved — it depends on whether systematic cores are added to MRI-targeted cores [5], which saturation scheme is used [6], and how far biopsy-to-prostatectomy grade discordance distorts downstream planning [7]. Nor are biopsy decisions operator-independent: pathway-relevant MRI findings, graded with PI-RADS [8] and quality-scored with PI-QUAL [9], show only moderate inter-reader agreement [10], and PSA-density thresholds temper the decision to biopsy [11].</w:t>
      </w:r>
    </w:p>
    <w:p>
      <w:r>
        <w:rPr>
          <w:rFonts w:ascii="Times New Roman" w:hAnsi="Times New Roman"/>
          <w:b w:val="0"/>
          <w:i w:val="0"/>
        </w:rPr>
        <w:t>Each of these choices carries weight. The modern pathway rests on validated mpMRI diagnostic accuracy [12] and repeated demonstrations that MRI-targeted sampling improves clinically significant cancer detection [13-16]; the transperineal-versus-transrectal trade-off has now been quantified in a multicentre randomised trial and an RCT meta-analysis [17,18]; targeted versus empirical prophylaxis measurably changes post-biopsy sepsis risk [19]; and the complication burden is far from negligible [20,21]. Written guidance is converging on the same decision points — the EAU Prostate Cancer Guidelines [22], the AUA/ASTRO Clinically Localized Prostate Cancer Guideline [23] with its 2026 Amendment [24], and the ProBIOPSY consensus [4] — yet written guidance alone has not standardised the procedure. This gap motivates a concrete remedy: a standardised, consensus-derived biopsy checklist, stored in a computer and callable whenever clinicians and patients need it, so that the same evidence-based logic reaches every patient.</w:t>
      </w:r>
    </w:p>
    <w:p>
      <w:r>
        <w:rPr>
          <w:rFonts w:ascii="Times New Roman" w:hAnsi="Times New Roman"/>
          <w:b w:val="0"/>
          <w:i w:val="0"/>
        </w:rPr>
        <w:t xml:space="preserve">Four operational pain points of this pathway motivate the present design. </w:t>
      </w:r>
      <w:r>
        <w:rPr>
          <w:rFonts w:ascii="Times New Roman" w:hAnsi="Times New Roman"/>
          <w:b/>
          <w:i w:val="0"/>
        </w:rPr>
        <w:t>(i) Contextual safety decisions that generic guidance cannot resolve.</w:t>
      </w:r>
      <w:r>
        <w:rPr>
          <w:rFonts w:ascii="Times New Roman" w:hAnsi="Times New Roman"/>
          <w:b w:val="0"/>
          <w:i w:val="0"/>
        </w:rPr>
        <w:t xml:space="preserve"> Prostate biopsy carries a well-characterised complication burden [25], and the correct route, prophylaxis intensity, and scheme depend on the individual patient's risk profile — the very decisions where one-size-fits-all advice fails and a shortcut to "no biopsy" or "always biopsy" is clinically unacceptable. </w:t>
      </w:r>
      <w:r>
        <w:rPr>
          <w:rFonts w:ascii="Times New Roman" w:hAnsi="Times New Roman"/>
          <w:b/>
          <w:i w:val="0"/>
        </w:rPr>
        <w:t>(ii) A combinatorial, non-executable evidence base.</w:t>
      </w:r>
      <w:r>
        <w:rPr>
          <w:rFonts w:ascii="Times New Roman" w:hAnsi="Times New Roman"/>
          <w:b w:val="0"/>
          <w:i w:val="0"/>
        </w:rPr>
        <w:t xml:space="preserve"> A consensus document or guideline is not an executable artifact: clinicians face a space of patient scenarios × biopsy decisions (51 scenario archetypes × 54 decision items in the registries developed here) that static lookup cannot cover. </w:t>
      </w:r>
      <w:r>
        <w:rPr>
          <w:rFonts w:ascii="Times New Roman" w:hAnsi="Times New Roman"/>
          <w:b/>
          <w:i w:val="0"/>
        </w:rPr>
        <w:t>(iii) Knowledge tools that decay or distract.</w:t>
      </w:r>
      <w:r>
        <w:rPr>
          <w:rFonts w:ascii="Times New Roman" w:hAnsi="Times New Roman"/>
          <w:b w:val="0"/>
          <w:i w:val="0"/>
        </w:rPr>
        <w:t xml:space="preserve"> Rule-based clinical decision support systems (CDSS) capture deterministic logic but are slow to update [26], contribute to alert fatigue [27], and struggle with natural-language evidence [28]. </w:t>
      </w:r>
      <w:r>
        <w:rPr>
          <w:rFonts w:ascii="Times New Roman" w:hAnsi="Times New Roman"/>
          <w:b/>
          <w:i w:val="0"/>
        </w:rPr>
        <w:t>(iv) Flexible-but-unreliable generation.</w:t>
      </w:r>
      <w:r>
        <w:rPr>
          <w:rFonts w:ascii="Times New Roman" w:hAnsi="Times New Roman"/>
          <w:b w:val="0"/>
          <w:i w:val="0"/>
        </w:rPr>
        <w:t xml:space="preserve"> Large language models (LLMs) promise flexible language understanding [29,30] and are approaching expert performance on medical question answering [31,32], yet carry well-documented risks in medicine — hallucination, unstable outputs, and unverifiable provenance [33] — and can diverge from clinical guidelines [34]. Domain-specific LLM agents are now emerging rapidly — for atrial-fibrillation patient self-management [35], suspected-hypertension management [36], prostate-cancer patient education [37], and gene-set analysis with self-verification [38] — yet these frameworks rely on retrieval and prompt-level reflection without deterministic safeguards, and none, to our knowledge, is evaluated against a statement-level guideline gold standard. RAG grounds generation in an external corpus [39], and medical RAG benchmarks show promise [40],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QianLieAnHui is that checklist realised as an agent, and each architectural layer is aimed at a specific pain point.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[41] — each layer covers the others' failure modes while preserving a complete audit trail from every output back to numbered consensus statements and evidence chunks. At the retrieval layer we adopt LightRAG [42], a graph-based dual-level retrieval framework that outperforms Microsoft GraphRAG [43]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[44]);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[9]),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[42]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[32] and have generated patient-facing responses rated as more empathetic than physician responses [49]; for constrained, auditable decision support, however, our results indicate that decision architecture — not model capability — is the dominant lever. Medical RAG benchmarks such as MIRAGE [40]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[43] and LightRAG [42], our contribution is system-level: LightRAG remains the evidence engine, but the lightrag-only baseline demonstrates exactly what happens without a rule layer — against over-calling (sensitivity 1.000, specificity 0.922) and conditional silence. Relative to rule-based CDSS [28],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[35], and its hypertension analogue [36], demonstrate that retrieval plus prompt optimisation raises Likert-rated response quality across several base models; an EHR-integrated agent personalises prostate-cancer patient education [37]; GeneAgent adds self-verification over domain databases for gene-set analysis [38].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[22]; the AUA/ASTRO guideline and its 2026 Amendment converge on the same action-level recommendations for localized disease [23,24]. The underlying trial evidence is recent and consolidating — randomised evidence on transperineal access [17], an RCT meta-analysis across imaging-targeted and non-targeted settings [18], and targeted prophylaxis studies [19]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[10] is carried as explicit scenario flags; grade-discordance-aware treatment planning [7] is anchored by the largest statement domain; and the complication burden that motivates conservatism [25]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[26].</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[50,51]; (iii) extending the rule base to other guideline chapters (active surveillance, imaging follow-up) and emerging PSMA-PET–first pathways [52]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[53].</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8.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9.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10.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11.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12.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13.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14.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15.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16.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17.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18.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19.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20.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21.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22.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23.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24.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25.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26.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27.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28.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29. Rajpurkar P, Chen E, Banerjee O, Topol EJ. AI in health and medicine. Nat Med. 2022;28(1):31-38. https://doi.org/10.1038/s41591-021-01614-0</w:t>
      </w:r>
    </w:p>
    <w:p>
      <w:pPr>
        <w:ind w:left="425" w:hanging="425"/>
      </w:pPr>
      <w:r>
        <w:rPr>
          <w:rFonts w:ascii="Times New Roman" w:hAnsi="Times New Roman"/>
          <w:b w:val="0"/>
          <w:i w:val="0"/>
        </w:rPr>
        <w:t>30.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31. Singhal K, Azizi S, Tu T, et al. Large language models encode clinical knowledge. Nature. 2023;620(7972):172-180. https://doi.org/10.1038/s41586-023-06291-2</w:t>
      </w:r>
    </w:p>
    <w:p>
      <w:pPr>
        <w:ind w:left="425" w:hanging="425"/>
      </w:pPr>
      <w:r>
        <w:rPr>
          <w:rFonts w:ascii="Times New Roman" w:hAnsi="Times New Roman"/>
          <w:b w:val="0"/>
          <w:i w:val="0"/>
        </w:rPr>
        <w:t>32.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33. Ji Z, Lee N, Frieske R, et al. Survey of Hallucination in Natural Language Generation. ACM Comput. Surv. 2023;55(12):1-38. https://doi.org/10.1145/3571730</w:t>
      </w:r>
    </w:p>
    <w:p>
      <w:pPr>
        <w:ind w:left="425" w:hanging="425"/>
      </w:pPr>
      <w:r>
        <w:rPr>
          <w:rFonts w:ascii="Times New Roman" w:hAnsi="Times New Roman"/>
          <w:b w:val="0"/>
          <w:i w:val="0"/>
        </w:rPr>
        <w:t>34.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35.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36.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37.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38.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39.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40.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41.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42. Guo Z, Xia L, Yu Y, Ao T, Huang C. LightRAG: simple and fast retrieval-augmented generation. arXiv:2410.05779, 2024 (verified against arXiv listing).</w:t>
      </w:r>
    </w:p>
    <w:p>
      <w:pPr>
        <w:ind w:left="425" w:hanging="425"/>
      </w:pPr>
      <w:r>
        <w:rPr>
          <w:rFonts w:ascii="Times New Roman" w:hAnsi="Times New Roman"/>
          <w:b w:val="0"/>
          <w:i w:val="0"/>
        </w:rPr>
        <w:t>43. Edge D, Trinh H, Cheng N, et al. From local to global: a Graph RAG approach to query-focused summarization. arXiv:2404.16130, 2024 (verified via arXiv API).</w:t>
      </w:r>
    </w:p>
    <w:p>
      <w:pPr>
        <w:ind w:left="425" w:hanging="425"/>
      </w:pPr>
      <w:r>
        <w:rPr>
          <w:rFonts w:ascii="Times New Roman" w:hAnsi="Times New Roman"/>
          <w:b w:val="0"/>
          <w:i w:val="0"/>
        </w:rPr>
        <w:t>44.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51.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52.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53.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53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