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265 / main text ~4,100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require weighing patient-specific factors — MRI findings, PSA density, comorbidity, and treatment intent — against a complex pathway of interlocking choices. The ProBIOPSY consensus codified this pathway into 112 statements, yet substantial practice variation persists because a written consensus, however detailed, cannot be executed at the point of care.</w:t>
      </w:r>
    </w:p>
    <w:p>
      <w:r>
        <w:rPr>
          <w:rFonts w:ascii="Times New Roman" w:hAnsi="Times New Roman"/>
          <w:b/>
          <w:i w:val="0"/>
        </w:rPr>
        <w:t>Methods:</w:t>
      </w:r>
      <w:r>
        <w:rPr>
          <w:rFonts w:ascii="Times New Roman" w:hAnsi="Times New Roman"/>
          <w:b w:val="0"/>
          <w:i w:val="0"/>
        </w:rPr>
        <w:t xml:space="preserve"> We developed QianLieAnHui, a decision-support agent that encodes the consensus as an executable checklist. The system chains three layers: a deterministic rule engine (16 rules cross-checked against EAU and AUA/ASTRO guidelines) that emits hard constraints; risk-guided retrieval over a LightRAG knowledge graph built from 357 consensus-derived evidence chunks; and an LLM arbiter that produces one of five executable actions with statement-level citations. A patient-facing education mode reuses the same frozen evidence base with a curated, source-traceable fact base for lay-language counselling. Benchmarked across four architectures × five seeds × 112 statements (2,240 runs, generator fixed).</w:t>
      </w:r>
    </w:p>
    <w:p>
      <w:r>
        <w:rPr>
          <w:rFonts w:ascii="Times New Roman" w:hAnsi="Times New Roman"/>
          <w:b/>
          <w:i w:val="0"/>
        </w:rPr>
        <w:t>Results:</w:t>
      </w:r>
      <w:r>
        <w:rPr>
          <w:rFonts w:ascii="Times New Roman" w:hAnsi="Times New Roman"/>
          <w:b w:val="0"/>
          <w:i w:val="0"/>
        </w:rPr>
        <w:t xml:space="preserve"> The agent achieved exact-5 accuracy 0.805 ± 0.012 and Cohen's κ 0.730 ± 0.016 against the consensus gold standard, outperforming LightRAG-only (0.613), naive RAG (0.605), and pure LLM (0.304). The safety-critical against class reached F1 0.908 at specificity 0.986. Retrieval baselines collapsed onto frequent classes (conditional: 0.8% vs 17.0%). Upgrading to a flagship generator did not rescue simpler architectures (naive RAG: 0.605 → 0.538).</w:t>
      </w:r>
    </w:p>
    <w:p>
      <w:r>
        <w:rPr>
          <w:rFonts w:ascii="Times New Roman" w:hAnsi="Times New Roman"/>
          <w:b/>
          <w:i w:val="0"/>
        </w:rPr>
        <w:t>Conclusions:</w:t>
      </w:r>
      <w:r>
        <w:rPr>
          <w:rFonts w:ascii="Times New Roman" w:hAnsi="Times New Roman"/>
          <w:b w:val="0"/>
          <w:i w:val="0"/>
        </w:rPr>
        <w:t xml:space="preserve"> A written international consensus can be turned into an executable decision-support agent with accuracy suitable for pilot clinical evaluation. The deterministic rule layer proved essential: without hard constraints, LLM-based systems miss nuanced recommendations and over-call unsafe actions. Every recommendation traces to numbered consensus statements, enabling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lowers disease-specific mortality [3], and what the biopsy finds — grade group, tumour burden, distribution — determines whether a man is monitored, offered focal therapy, or scheduled for radical treatment. The biopsy is, in this sense, the gateway to every treatment decision in prostate cancer.</w:t>
      </w:r>
    </w:p>
    <w:p>
      <w:r>
        <w:rPr>
          <w:rFonts w:ascii="Times New Roman" w:hAnsi="Times New Roman"/>
          <w:b w:val="0"/>
          <w:i w:val="0"/>
        </w:rPr>
        <w:t>Yet the procedure that feeds these decisions remains insufficiently standardised. Whether systematic cores should be added to MRI-targeted cores [4], which saturation scheme to use [5], transperineal versus transrectal access — whose trade-offs have been quantified in randomised trials [6,7] — and targeted versus empirical prophylaxis [8] remain actively debated. MRI-targeted sampling demonstrably improves clinically significant cancer detection [9-12], but whether it can inform every treatment option at all is unresolved, and biopsy-to-prostatectomy grade discordance complicates downstream planning [13].</w:t>
      </w:r>
    </w:p>
    <w:p>
      <w:r>
        <w:rPr>
          <w:rFonts w:ascii="Times New Roman" w:hAnsi="Times New Roman"/>
          <w:b w:val="0"/>
          <w:i w:val="0"/>
        </w:rPr>
        <w:t>Compounding this uncertainty, the measurements that drive these choices are themselves imperfect. mpMRI misses clinically significant cancer in a minority of men [14]; PI-RADS readings agree only moderately between readers [15,16], and image quality gates their interpretation [17]; PSA-density thresholds temper but do not settle the decision [18]. Every configuration carries the procedure's well-characterised complication burden [19,20], and the ProBIOPSY consensus documented substantial international practice variation across exactly these choices [21].</w:t>
      </w:r>
    </w:p>
    <w:p>
      <w:r>
        <w:rPr>
          <w:rFonts w:ascii="Times New Roman" w:hAnsi="Times New Roman"/>
          <w:b w:val="0"/>
          <w:i w:val="0"/>
        </w:rPr>
        <w:t>Written guidance has not closed these gaps. The EAU Prostate Cancer Guidelines [22], the AUA/ASTRO Clinically Localized Prostate Cancer Guideline [23] with its 2026 Amendment [24], and the ProBIOPSY consensus [21] converge on the same decision points. Yet a guideline is reference material, not an instrument: at the decision point the clinician must assemble 51 patient-scenario archetypes × 54 biopsy decisions, each combination carrying its own evidence, and no lookup table covers the combinatorics. Software is needed — but existing approaches fall short in complementary ways.</w:t>
      </w:r>
    </w:p>
    <w:p>
      <w:r>
        <w:rPr>
          <w:rFonts w:ascii="Times New Roman" w:hAnsi="Times New Roman"/>
          <w:b w:val="0"/>
          <w:i w:val="0"/>
        </w:rPr>
        <w:t>Rule-based clinical decision support is deterministic but slow to update [25], breeds alert fatigue [26], and cannot digest natural-language evidence [27]. Large language models (LLMs) supply the missing linguistic flexibility [28,29] and approach expert performance on medical question answering [30,31], but they hallucinate and lack verifiable provenance [32], drift from guidelines as they age [33], and give confidently generic advice where patient-specific context changes the answer.</w:t>
      </w:r>
    </w:p>
    <w:p>
      <w:r>
        <w:rPr>
          <w:rFonts w:ascii="Times New Roman" w:hAnsi="Times New Roman"/>
          <w:b w:val="0"/>
          <w:i w:val="0"/>
        </w:rPr>
        <w:t>For example, asked "Should a 70-year-old man with locally advanced disease undergo extended systematic prostate biopsy?", a general-purpose LLM may respond: "Yes, extended 12-core systematic biopsy is the standard approach." Yet the consensus for suspected locally advanced disease recommends reducing systematic biopsy to a maximum of six cores. The LLM's answer is not hallucinated — it is the right answer for the wrong patient.</w:t>
      </w:r>
    </w:p>
    <w:p>
      <w:r>
        <w:rPr>
          <w:rFonts w:ascii="Times New Roman" w:hAnsi="Times New Roman"/>
          <w:b w:val="0"/>
          <w:i w:val="0"/>
        </w:rPr>
        <w:t xml:space="preserve">A rapidly growing family of domain agents — for atrial-fibrillation self-management [34], hypertension management [35], prostate-cancer education [36], knowledge-graph-grounded dietary recommendations [37], and gene-set analysis [38] — demonstrates that specialised medical AI is feasible. But none is benchmarked against a statement-level guideline gold standard, and all rely on prompt-level rather than binding safeguards. Retrieval-augmented generation (RAG) grounds generation in an external corpus [39] and medical RAG benchmarks show promise [40], but retrieval alone has no mechanism to </w:t>
      </w:r>
      <w:r>
        <w:rPr>
          <w:rFonts w:ascii="Times New Roman" w:hAnsi="Times New Roman"/>
          <w:b w:val="0"/>
          <w:i/>
        </w:rPr>
        <w:t>forbid</w:t>
      </w:r>
      <w:r>
        <w:rPr>
          <w:rFonts w:ascii="Times New Roman" w:hAnsi="Times New Roman"/>
          <w:b w:val="0"/>
          <w:i w:val="0"/>
        </w:rPr>
        <w:t xml:space="preserve"> a fluent recommendation that contradicts the guideline.</w:t>
      </w:r>
    </w:p>
    <w:p>
      <w:r>
        <w:rPr>
          <w:rFonts w:ascii="Times New Roman" w:hAnsi="Times New Roman"/>
          <w:b w:val="0"/>
          <w:i w:val="0"/>
        </w:rPr>
        <w:t>What is needed, therefore, is a system that combines the linguistic flexibility of LLMs, the traceable evidence chain of knowledge-graph retrieval, and the deterministic safety of hard constraints — each covering the others' failure modes. This integration is consistent with emerging roadmaps for unifying large language models and knowledge graphs [41]. QianLieAnHui is that system, realised as an agent. Its rule engine mechanically enforces consensus constraints that prompting cannot; its retrieval layer surfaces the evidence chain behind each recommendation; and its arbiter supplies the linguistic flexibility that rules alone cannot provide.</w:t>
      </w:r>
    </w:p>
    <w:p>
      <w:r>
        <w:rPr>
          <w:rFonts w:ascii="Times New Roman" w:hAnsi="Times New Roman"/>
          <w:b w:val="0"/>
          <w:i w:val="0"/>
        </w:rPr>
        <w:t>We developed and validated QianLieAnHui (前列安汇; "probiopsy-rag"), a decision-support agent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agent — a machine-executable consensus checklist chaining deterministic rule hard constraints, LightRAG knowledge-graph retrieval, and LLM arbitration —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r>
        <w:rPr>
          <w:rFonts w:ascii="Times New Roman" w:hAnsi="Times New Roman"/>
          <w:b w:val="0"/>
          <w:i w:val="0"/>
        </w:rPr>
        <w:t xml:space="preserve">5. </w:t>
      </w:r>
      <w:r>
        <w:rPr>
          <w:rFonts w:ascii="Times New Roman" w:hAnsi="Times New Roman"/>
          <w:b/>
          <w:i w:val="0"/>
        </w:rPr>
        <w:t>Patient-facing education.</w:t>
      </w:r>
      <w:r>
        <w:rPr>
          <w:rFonts w:ascii="Times New Roman" w:hAnsi="Times New Roman"/>
          <w:b w:val="0"/>
          <w:i w:val="0"/>
        </w:rPr>
        <w:t xml:space="preserve"> An education mode that serves patients and families from the same audited evidence chain — the frozen consensus corpus plus a curated, source-traceable fact base — answering in lay language the questions clinicians have no time for: what a benign report does and does not mean, HGPIN and ASAP, pain and anaesthesia, and post-biopsy warning signs.</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[21]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[42]);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[17]),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Every prostate MRI must be checked against PI-QUAL v2 quality criteria before the biopsy pathway is decided (Q4a median 9, Q4b median 8 — consensus agree); a quality-assured scan — 1.5T or 3T, biparametric without routine contrast-enhanced sequences — is acceptable (Q1, Q5-Q7 median 8), and MRI that fails quality standards must not gate the biopsy decision.</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 — whereas PSMA PET and microultrasound remain conditional options rather than standard workup (Q18, Q21).</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When MRI is negative but clinical suspicion remains high (abnormal DRE, persistently elevated PSA, strong family history, Black ethnicity, or prior negative biopsy), a 12-core systematic biopsy is still endorsed (Q25 median 7 — consensus agree; Q55a median 7) and PSMA PET may serve as an ancillary test (Q19 median 8 — consensus agree).</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 both modalities have defined ancillary niches but must not replace quality-assured MRI at triage.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core template (Q53 median 3) and saturation biopsy (Q54 median 2) — all by consensus disagree.</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rated 'neither' (Q34 median 6) and the proposed minimum of 3 cores per target failed to reach consensus in both rounds (Q35, Q36), so the system reports core count as an open option rather than enforcing a fixed number.</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and scales the number of perilesional cores to lesion size (Q39 median 7 — consensus agree), with a maximum of 2 cores per large lesion (Q41 — SOQ consensus).</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For a unifocal lesion, ProBIOPSY endorses targeted + perilesional biopsy without contralateral systematic cores (Q43 median 7 — consensus agree) and bilateral targeted+perilesional schemes for multifocal bilateral disease (Q49 median 7 — consensus agree), while adding full systematic biopsy to a targeted+perilesional scheme is rejected (Q45 median 3 — consensus disagree).</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 whereas nerve sparing, whole-gland radiotherapy, focal boost and ADT-duration planning are adequately served by targeted+perilesional schemes (Q67, Q70, Q79, Q85, Q88, Q91, Q94 median 7-8).</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escalate the perioperative rule R11 — prefer the transperineal route and augmented prophylaxis when transrectal access is unavoidable.</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[43]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[22] and the AUA/ASTRO Clinically Localized Prostate Cancer Guideline [23] and its 2026 Amendment [24];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r>
        <w:rPr>
          <w:rFonts w:ascii="Times New Roman" w:hAnsi="Times New Roman"/>
          <w:b/>
          <w:i w:val="0"/>
        </w:rPr>
        <w:t>Patient-facing education mode.</w:t>
      </w:r>
      <w:r>
        <w:rPr>
          <w:rFonts w:ascii="Times New Roman" w:hAnsi="Times New Roman"/>
          <w:b w:val="0"/>
          <w:i w:val="0"/>
        </w:rPr>
        <w:t xml:space="preserve"> The same frozen corpus and retrieval stack also support a patient-facing education mode. A complete biopsy pathway must counsel patients, not only clinicians: whether a benign report closes the matter, what HGPIN or ASAP means, and whether the procedure is tolerable are questions urologists field daily, yet clinician time for such conversations is limited and meeting patients' evolving informational needs is among the first casualties of stretched clinics [34]. The mode couples (i) retrieval, unchanged, over the frozen 357-chunk consensus corpus and knowledge graph; (ii) a curated patient-education fact base of ten entries — biopsy sampling logic, why a biopsy is advised, the meaning of a benign report, HGPIN, ASAP, pain and anaesthesia, preparation, post-biopsy warning signs, result interpretation, and shared decision-making — keyword-matched to the patient's question; and (iii) a generation prompt that instructs lay language, forbids invented statistics, requires an explicit safety-netting paragraph (when to seek urgent care), and ends by directing the patient to the treating clinician. Every fact entry carries a verifiable source: the consensus [21], the EAU and AUA/ASTRO guidelines [22,23], the TRANSLATE trial [6], the complication review [44], and peer-reviewed accounts of isolated HGPIN [45] and ASAP management [46]. The mode is exposed in the application UI alongside the clinician mode (Figure 1, education strip); it is not part of the 2,240-run benchmark and is demonstrated qualitatively in Results.</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[47]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[48].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Patient-facing education (qualitative demonstration)</w:t>
      </w:r>
    </w:p>
    <w:p>
      <w:r>
        <w:rPr>
          <w:rFonts w:ascii="Times New Roman" w:hAnsi="Times New Roman"/>
          <w:b w:val="0"/>
          <w:i w:val="0"/>
        </w:rPr>
        <w:t>Three consultations of the kind urologists field daily were submitted to the education mode in Chinese (verbatim transcripts with matched fact entries and retrieval provenance in Supplementary S7). Asked "My biopsy report is benign — do I never need to worry again, and can I stop checking PSA?", the agent answered in plain language that a biopsy samples only the cores taken, that small or hidden tumours can be missed, and that PSA testing and physical examination should therefore continue on the urologist's schedule, closing with a safety-netting paragraph (rising PSA or new symptoms: contact the urologist without waiting). Asked what ASAP means, it explained the finding as suspicious but not yet confirmed, distinguished it from isolated HGPIN, stated that a clinically meaningful fraction of re-biopsies after ASAP detect clinically significant cancer, and advised against delaying the recommended repeat biopsy [46]. Asked whether fear of pain justifies declining a biopsy, it described periprostatic nerve block and fully local-anaesthetic transperineal biopsy [6,21], noted that avoiding a medically indicated biopsy can delay a curable diagnosis, and offered sedation planning as an option. All three outputs cited their fact entries and evidence chunks, and ended by referring the patient to the treating clinician; none issued an action verdict or invented numbers. These are demonstrations, not benchmarked results — no lay-person readability or comprehension study has been performed (see Limitations).</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[49] of −0.09 reflects the known instability of κ under uneven category marginals at this sample size — the agreement paradox described by Feinstein and Cicchetti — rather than poor agreement [50].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[51]; for constrained, auditable decision support, however, our results indicate that decision architecture — not model capability — is the dominant lever. Medical RAG benchmarks such as MIRAGE [40]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[52] and LightRAG [43],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[38].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[22]; the AUA/ASTRO guideline and its 2026 Amendment converge on the same action-level recommendations for localized disease [23,24]. The underlying trial evidence is recent and consolidating — randomised evidence on transperineal access [6], an RCT meta-analysis across imaging-targeted and non-targeted settings [7], and targeted prophylaxis studies [8]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[16] is carried as explicit scenario flags; grade-discordance-aware treatment planning [13] is anchored by the largest statement domain; and the complication burden that motivates conservatism [44]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From clinician support to patient education</w:t>
      </w:r>
    </w:p>
    <w:p>
      <w:r>
        <w:rPr>
          <w:rFonts w:ascii="Times New Roman" w:hAnsi="Times New Roman"/>
          <w:b w:val="0"/>
          <w:i w:val="0"/>
        </w:rPr>
        <w:t>The biopsy pathway is incomplete if the agent serves only the clinician's half of the consultation. Patient education depends on clinicians interpreting concrete details of the procedure and its results, yet clinician time for such conversations is limited, and patients' evolving informational and emotional needs are among the first casualties of stretched clinics — the asymmetry that motivates patient-facing agents in other medical domains [34,36]. QianLieAnHui addresses this asymmetrically rather than by weakening its constraints: the education mode reuses the same frozen evidence chain and adds a curated fact base whose every entry is source-traceable, so a patient answer can be audited exactly like a clinician verdict. The content is clinically consequential. Isolated HGPIN on extended biopsy schemes generally does not mandate early repeat biopsy, whereas ASAP warrants re-sampling because a meaningful fraction of such re-biopsies detect clinically significant cancer [45,46] — precisely the messages patients miss when counselling time is short, and the reason a benign report must never end follow-up. The mode deliberately issues no action verdict: education outputs cite their evidence and route the patient back to the treating clinician, keeping the hard-constrained five-action layer exclusive to clinician-facing decisions.</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[50]),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xml:space="preserve">: the corpus is English, the scenario registry and UI Chinese; cross-lingual transfer is untested. Ninth, </w:t>
      </w:r>
      <w:r>
        <w:rPr>
          <w:rFonts w:ascii="Times New Roman" w:hAnsi="Times New Roman"/>
          <w:b/>
          <w:i w:val="0"/>
        </w:rPr>
        <w:t>patient-education mode</w:t>
      </w:r>
      <w:r>
        <w:rPr>
          <w:rFonts w:ascii="Times New Roman" w:hAnsi="Times New Roman"/>
          <w:b w:val="0"/>
          <w:i w:val="0"/>
        </w:rPr>
        <w:t>: the mode is a design contribution demonstrated on three verbatim consultations, not an evaluated intervention — no readability scoring, comprehension testing, or patient-user study has been performed, and the ten-entry fact base covers common questions rather than the full space of patient concerns.</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[53,54]; (iii) extending the rule base to other guideline chapters (active surveillance, imaging follow-up) and emerging PSMA-PET–first pathways [55] to test architecture portability; (iv) FHIR integration for automatic scenario filling from the EMR; (v) on-premises generator deployment to eliminate PHI-transfer concerns; and (vi) a supervised pilot evaluating the patient-education mode for readability, comprehension, and anxiety reduction.</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patient-education fact base (patient_education_facts.csv, ten source-traceable entries), the verbatim patient-education transcripts (demo_cases/patient_edu/),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[56].</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A second runtime mode (strip below the pipeline) reuses the identical frozen evidence base for patient-facing education: the patient's lay question is keyword-matched against a curated, source-traceable fact base (ten entries), and the same generator produces a plain-language answer with an explicit safety-netting paragraph and referral to the treating urologist (demonstrated qualitatively; not part of the benchmark).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4316119"/>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4316119"/>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1975914"/>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1975914"/>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5.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6.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7.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8.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9.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10.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11.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12.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13.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14.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15.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16.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17.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18.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19.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20.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21.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22.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23.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24.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Sha H, Gong F, Liu B, Liu R, Wang H, Wu T. Leveraging Retrieval-Augmented Large Language Models for Dietary Recommendations With Traditional Chinese Medicine’s Medicine Food Homology: Algorithm Development and Validation. JMIR Med Inform. 2025;13:e75279-e75279. https://doi.org/10.2196/75279</w:t>
      </w:r>
    </w:p>
    <w:p>
      <w:pPr>
        <w:ind w:left="425" w:hanging="425"/>
      </w:pPr>
      <w:r>
        <w:rPr>
          <w:rFonts w:ascii="Times New Roman" w:hAnsi="Times New Roman"/>
          <w:b w:val="0"/>
          <w:i w:val="0"/>
        </w:rPr>
        <w:t>38.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39.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40.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41.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42.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43. Guo Z, Xia L, Yu Y, Ao T, Huang C. LightRAG: simple and fast retrieval-augmented generation. arXiv:2410.05779, 2024 (verified against arXiv listing).</w:t>
      </w:r>
    </w:p>
    <w:p>
      <w:pPr>
        <w:ind w:left="425" w:hanging="425"/>
      </w:pPr>
      <w:r>
        <w:rPr>
          <w:rFonts w:ascii="Times New Roman" w:hAnsi="Times New Roman"/>
          <w:b w:val="0"/>
          <w:i w:val="0"/>
        </w:rPr>
        <w:t>44.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45. Morote J, Schwartzmann I, Celma A, et al. The current recommendation for the management of isolated high‐grade prostatic intraepithelial neoplasia. BJU International. 2021;129(5):627-633. https://doi.org/10.1111/bju.15568</w:t>
      </w:r>
    </w:p>
    <w:p>
      <w:pPr>
        <w:ind w:left="425" w:hanging="425"/>
      </w:pPr>
      <w:r>
        <w:rPr>
          <w:rFonts w:ascii="Times New Roman" w:hAnsi="Times New Roman"/>
          <w:b w:val="0"/>
          <w:i w:val="0"/>
        </w:rPr>
        <w:t>46. Ji WT, Jin XF, Wang Y. The Rate of Clinically Significant Prostate Cancer on Repeat Biopsy after a Diagnosis of Atypical Small Acinar Proliferation: A Systematic Review and Meta-Analysis. Oncology. 2023;102(7):631-640. https://doi.org/10.1159/000535123</w:t>
      </w:r>
    </w:p>
    <w:p>
      <w:pPr>
        <w:ind w:left="425" w:hanging="425"/>
      </w:pPr>
      <w:r>
        <w:rPr>
          <w:rFonts w:ascii="Times New Roman" w:hAnsi="Times New Roman"/>
          <w:b w:val="0"/>
          <w:i w:val="0"/>
        </w:rPr>
        <w:t>47. Cohen J. A Coefficient of Agreement for Nominal Scales. Educational and Psychological Measurement. 1960;20(1):37-46. https://doi.org/10.1177/001316446002000104</w:t>
      </w:r>
    </w:p>
    <w:p>
      <w:pPr>
        <w:ind w:left="425" w:hanging="425"/>
      </w:pPr>
      <w:r>
        <w:rPr>
          <w:rFonts w:ascii="Times New Roman" w:hAnsi="Times New Roman"/>
          <w:b w:val="0"/>
          <w:i w:val="0"/>
        </w:rPr>
        <w:t>48.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49. Fleiss JL. Measuring nominal scale agreement among many raters.. Psychological Bulletin. 1971;76(5):378-382. https://doi.org/10.1037/h0031619</w:t>
      </w:r>
    </w:p>
    <w:p>
      <w:pPr>
        <w:ind w:left="425" w:hanging="425"/>
      </w:pPr>
      <w:r>
        <w:rPr>
          <w:rFonts w:ascii="Times New Roman" w:hAnsi="Times New Roman"/>
          <w:b w:val="0"/>
          <w:i w:val="0"/>
        </w:rPr>
        <w:t>50.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51.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52. Edge D, Trinh H, Cheng N, et al. From local to global: a Graph RAG approach to query-focused summarization. arXiv:2404.16130, 2024 (verified via arXiv API).</w:t>
      </w:r>
    </w:p>
    <w:p>
      <w:pPr>
        <w:ind w:left="425" w:hanging="425"/>
      </w:pPr>
      <w:r>
        <w:rPr>
          <w:rFonts w:ascii="Times New Roman" w:hAnsi="Times New Roman"/>
          <w:b w:val="0"/>
          <w:i w:val="0"/>
        </w:rPr>
        <w:t>53.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54.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55.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56.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56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