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outlineLvl w:val="0"/>
      </w:pPr>
      <w:r>
        <w:rPr>
          <w:rFonts w:ascii="Times New Roman" w:hAnsi="Times New Roman" w:eastAsia="宋体"/>
          <w:b/>
          <w:sz w:val="30"/>
        </w:rPr>
        <w:t>QianLieAnHui: development and benchmark validation of a hybrid rule-engine, knowledge-graph, and LLM-arbitration decision-support agent for the prostate biopsy pathway, against the ProBIOPSY international consensus</w:t>
      </w:r>
    </w:p>
    <w:p>
      <w:pPr>
        <w:spacing w:line="480" w:lineRule="auto" w:before="0" w:after="0"/>
        <w:ind w:firstLine="720"/>
      </w:pPr>
      <w:r>
        <w:rPr>
          <w:rFonts w:ascii="Times New Roman" w:hAnsi="Times New Roman" w:eastAsia="宋体"/>
          <w:b/>
          <w:sz w:val="24"/>
        </w:rPr>
        <w:t>Running title:</w:t>
      </w:r>
      <w:r>
        <w:rPr>
          <w:rFonts w:ascii="Times New Roman" w:hAnsi="Times New Roman" w:eastAsia="宋体"/>
          <w:b w:val="0"/>
          <w:sz w:val="24"/>
        </w:rPr>
        <w:t xml:space="preserve"> A hybrid rule engine–knowledge graph–LLM agent for prostate biopsy decisions</w:t>
      </w:r>
    </w:p>
    <w:p>
      <w:pPr>
        <w:spacing w:line="480" w:lineRule="auto" w:before="0" w:after="0"/>
        <w:ind w:firstLine="720"/>
      </w:pPr>
      <w:r>
        <w:rPr>
          <w:rFonts w:ascii="Times New Roman" w:hAnsi="Times New Roman" w:eastAsia="宋体"/>
          <w:b w:val="0"/>
          <w:sz w:val="24"/>
        </w:rPr>
        <w:t>XU Zekun</w:t>
      </w:r>
      <w:r>
        <w:rPr>
          <w:rFonts w:ascii="Times New Roman" w:hAnsi="Times New Roman" w:eastAsia="宋体"/>
          <w:b w:val="0"/>
          <w:sz w:val="24"/>
          <w:vertAlign w:val="superscript"/>
        </w:rPr>
        <w:t>1,*</w:t>
      </w:r>
    </w:p>
    <w:p>
      <w:pPr>
        <w:spacing w:line="480" w:lineRule="auto" w:before="0" w:after="0"/>
        <w:ind w:firstLine="720"/>
      </w:pPr>
      <w:r>
        <w:rPr>
          <w:rFonts w:ascii="Times New Roman" w:hAnsi="Times New Roman" w:eastAsia="宋体"/>
          <w:b w:val="0"/>
          <w:sz w:val="24"/>
          <w:vertAlign w:val="superscript"/>
        </w:rPr>
        <w:t>1</w:t>
      </w:r>
      <w:r>
        <w:rPr>
          <w:rFonts w:ascii="Times New Roman" w:hAnsi="Times New Roman" w:eastAsia="宋体"/>
          <w:b w:val="0"/>
          <w:sz w:val="24"/>
        </w:rPr>
        <w:t xml:space="preserve"> Department of Urology, Affiliated Jinhua Hospital, Zhejiang University School of Medicine.</w:t>
      </w:r>
    </w:p>
    <w:p>
      <w:pPr>
        <w:spacing w:line="480" w:lineRule="auto" w:before="0" w:after="0"/>
        <w:ind w:firstLine="720"/>
      </w:pPr>
      <w:r>
        <w:rPr>
          <w:rFonts w:ascii="Times New Roman" w:hAnsi="Times New Roman" w:eastAsia="宋体"/>
          <w:b w:val="0"/>
          <w:sz w:val="24"/>
          <w:vertAlign w:val="superscript"/>
        </w:rPr>
        <w:t>*</w:t>
      </w:r>
      <w:r>
        <w:rPr>
          <w:rFonts w:ascii="Times New Roman" w:hAnsi="Times New Roman" w:eastAsia="宋体"/>
          <w:b w:val="0"/>
          <w:sz w:val="24"/>
        </w:rPr>
        <w:t xml:space="preserve"> Corresponding author: xuzekunurology@163.com</w:t>
      </w:r>
    </w:p>
    <w:p>
      <w:pPr>
        <w:spacing w:line="480" w:lineRule="auto" w:before="0" w:after="0"/>
        <w:ind w:firstLine="720"/>
      </w:pPr>
      <w:r>
        <w:rPr>
          <w:rFonts w:ascii="Times New Roman" w:hAnsi="Times New Roman" w:eastAsia="宋体"/>
          <w:b/>
          <w:sz w:val="24"/>
        </w:rPr>
        <w:t>Keywords:</w:t>
      </w:r>
      <w:r>
        <w:rPr>
          <w:rFonts w:ascii="Times New Roman" w:hAnsi="Times New Roman" w:eastAsia="宋体"/>
          <w:b w:val="0"/>
          <w:sz w:val="24"/>
        </w:rPr>
        <w:t xml:space="preserve"> prostate cancer; prostate biopsy; clinical decision support; LLM agent; knowledge graph; LightRAG; retrieval-augmented generation; large language models; ProBIOPSY</w:t>
      </w:r>
    </w:p>
    <w:p>
      <w:pPr>
        <w:spacing w:line="480" w:lineRule="auto" w:before="0" w:after="0"/>
        <w:ind w:firstLine="720"/>
      </w:pPr>
      <w:r>
        <w:rPr>
          <w:rFonts w:ascii="Times New Roman" w:hAnsi="Times New Roman" w:eastAsia="宋体"/>
          <w:b/>
          <w:sz w:val="24"/>
        </w:rPr>
        <w:t>Word count:</w:t>
      </w:r>
      <w:r>
        <w:rPr>
          <w:rFonts w:ascii="Times New Roman" w:hAnsi="Times New Roman" w:eastAsia="宋体"/>
          <w:b w:val="0"/>
          <w:sz w:val="24"/>
        </w:rPr>
        <w:t xml:space="preserve"> abstract 300 / main text ~6,900 (excl. tables, legends, references)</w:t>
      </w:r>
    </w:p>
    <w:p>
      <w:pPr>
        <w:spacing w:line="360" w:lineRule="auto" w:before="240" w:after="120"/>
        <w:outlineLvl w:val="1"/>
      </w:pPr>
      <w:r>
        <w:rPr>
          <w:rFonts w:ascii="Times New Roman" w:hAnsi="Times New Roman" w:eastAsia="宋体"/>
          <w:b/>
          <w:sz w:val="28"/>
        </w:rPr>
        <w:t>Abstract</w:t>
      </w:r>
    </w:p>
    <w:p>
      <w:pPr>
        <w:spacing w:line="480" w:lineRule="auto" w:before="0" w:after="0"/>
        <w:ind w:firstLine="720"/>
      </w:pPr>
      <w:r>
        <w:rPr>
          <w:rFonts w:ascii="Times New Roman" w:hAnsi="Times New Roman" w:eastAsia="宋体"/>
          <w:b/>
          <w:sz w:val="24"/>
        </w:rPr>
        <w:t>Background:</w:t>
      </w:r>
      <w:r>
        <w:rPr>
          <w:rFonts w:ascii="Times New Roman" w:hAnsi="Times New Roman" w:eastAsia="宋体"/>
          <w:b w:val="0"/>
          <w:sz w:val="24"/>
        </w:rPr>
        <w:t xml:space="preserve"> Prostate biopsy decisions interlock imaging quality, sampling scheme, route, perioperative prophylaxis, and treatment planning. The ProBIOPSY consensus codified this pathway into 112 statements, yet a written consensus, however detailed, cannot be executed at the point of care; large language models (LLMs) supply linguistic flexibility but hallucinate, lack traceable provenance, and impose no deterministic safety constraint. We therefore aimed to turn this consensus into an executable, auditable decision-support agent and to quantify, with the statements as gold standard, how much conformance a hybrid three-layer architecture achieves and which layer carries the performance.</w:t>
      </w:r>
    </w:p>
    <w:p>
      <w:pPr>
        <w:spacing w:line="480" w:lineRule="auto" w:before="0" w:after="0"/>
        <w:ind w:firstLine="720"/>
      </w:pPr>
      <w:r>
        <w:rPr>
          <w:rFonts w:ascii="Times New Roman" w:hAnsi="Times New Roman" w:eastAsia="宋体"/>
          <w:b/>
          <w:sz w:val="24"/>
        </w:rPr>
        <w:t>Methods:</w:t>
      </w:r>
      <w:r>
        <w:rPr>
          <w:rFonts w:ascii="Times New Roman" w:hAnsi="Times New Roman" w:eastAsia="宋体"/>
          <w:b w:val="0"/>
          <w:sz w:val="24"/>
        </w:rPr>
        <w:t xml:space="preserve"> We developed QianLieAnHui, which encodes the consensus as an executable checklist. It chains three layers: a deterministic rule engine (16 rules) that emits hard constraints; risk-guided retrieval over a LightRAG knowledge graph built from 357 consensus-derived evidence chunks; and an LLM arbiter that outputs one of five actions with statement-level citations. A patient-facing education mode reuses the same frozen evidence base with a curated, source-traceable fact base for lay-language counselling. Benchmarked across four architectures × five seeds × 112 statements (2,240 runs, generator fixed).</w:t>
      </w:r>
    </w:p>
    <w:p>
      <w:pPr>
        <w:spacing w:line="480" w:lineRule="auto" w:before="0" w:after="0"/>
        <w:ind w:firstLine="720"/>
      </w:pPr>
      <w:r>
        <w:rPr>
          <w:rFonts w:ascii="Times New Roman" w:hAnsi="Times New Roman" w:eastAsia="宋体"/>
          <w:b/>
          <w:sz w:val="24"/>
        </w:rPr>
        <w:t>Results:</w:t>
      </w:r>
      <w:r>
        <w:rPr>
          <w:rFonts w:ascii="Times New Roman" w:hAnsi="Times New Roman" w:eastAsia="宋体"/>
          <w:b w:val="0"/>
          <w:sz w:val="24"/>
        </w:rPr>
        <w:t xml:space="preserve"> The agent achieved exact-5 accuracy 0.805 ± 0.012, macro-F1 0.825, and Cohen's κ 0.730 ± 0.016, outperforming LightRAG-only (0.613), naive RAG (0.605), and pure LLM (0.304). The safety-critical against class reached F1 0.908 at specificity 0.986. Retrieval baselines collapsed onto frequent classes (conditional: 0.8% vs 17.0%). Upgrading to a flagship generator did not rescue simpler architectures (naive RAG: 0.605 → 0.538).</w:t>
      </w:r>
    </w:p>
    <w:p>
      <w:pPr>
        <w:spacing w:line="480" w:lineRule="auto" w:before="0" w:after="0"/>
        <w:ind w:firstLine="720"/>
      </w:pPr>
      <w:r>
        <w:rPr>
          <w:rFonts w:ascii="Times New Roman" w:hAnsi="Times New Roman" w:eastAsia="宋体"/>
          <w:b/>
          <w:sz w:val="24"/>
        </w:rPr>
        <w:t>Conclusions:</w:t>
      </w:r>
      <w:r>
        <w:rPr>
          <w:rFonts w:ascii="Times New Roman" w:hAnsi="Times New Roman" w:eastAsia="宋体"/>
          <w:b w:val="0"/>
          <w:sz w:val="24"/>
        </w:rPr>
        <w:t xml:space="preserve"> A written international consensus can be turned into an executable decision-support agent ready for pilot clinical evaluation. The deterministic rule layer proved essential: without hard constraints, LLM systems miss nuanced recommendations and over-call unsafe actions; architecture, not generator scale, is the main performance lever. Every recommendation traces to numbered consensus statements, enabling governance audits, and the same evidence chain supports auditable lay-language patient education (qualitative demonstration).</w:t>
      </w:r>
    </w:p>
    <w:p>
      <w:pPr>
        <w:spacing w:line="360" w:lineRule="auto" w:before="240" w:after="120"/>
        <w:outlineLvl w:val="1"/>
      </w:pPr>
      <w:r>
        <w:rPr>
          <w:rFonts w:ascii="Times New Roman" w:hAnsi="Times New Roman" w:eastAsia="宋体"/>
          <w:b/>
          <w:sz w:val="28"/>
        </w:rPr>
        <w:t>Introduction</w:t>
      </w:r>
    </w:p>
    <w:p>
      <w:pPr>
        <w:spacing w:line="480" w:lineRule="auto" w:before="0" w:after="0"/>
        <w:ind w:firstLine="720"/>
      </w:pPr>
      <w:r>
        <w:rPr>
          <w:rFonts w:ascii="Times New Roman" w:hAnsi="Times New Roman" w:eastAsia="宋体"/>
          <w:b w:val="0"/>
          <w:sz w:val="24"/>
        </w:rPr>
        <w:t>Prostate cancer is among the most common malignancies in men [1,2]. Population-level PSA screening lowers disease-specific mortality [3], and what the biopsy finds — grade group, tumour burden, distribution — determines whether a man is monitored, offered focal therapy, or scheduled for radical treatment. The biopsy is, in this sense, the gateway to every treatment decision in prostate cancer.</w:t>
      </w:r>
    </w:p>
    <w:p>
      <w:pPr>
        <w:spacing w:line="480" w:lineRule="auto" w:before="0" w:after="0"/>
        <w:ind w:firstLine="720"/>
      </w:pPr>
      <w:r>
        <w:rPr>
          <w:rFonts w:ascii="Times New Roman" w:hAnsi="Times New Roman" w:eastAsia="宋体"/>
          <w:b w:val="0"/>
          <w:sz w:val="24"/>
        </w:rPr>
        <w:t>Yet the procedure that feeds these decisions remains insufficiently standardised. Whether systematic cores should be added to MRI-targeted cores [4], which saturation scheme to use [5], transperineal versus transrectal access — whose trade-offs have been quantified in randomised trials [6,7] — and targeted versus empirical prophylaxis [8] remain actively debated. MRI-targeted sampling demonstrably improves clinically significant cancer detection [9-12], but whether it can inform every treatment option at all is unresolved, and biopsy-to-prostatectomy grade discordance complicates downstream planning [13].</w:t>
      </w:r>
    </w:p>
    <w:p>
      <w:pPr>
        <w:spacing w:line="480" w:lineRule="auto" w:before="0" w:after="0"/>
        <w:ind w:firstLine="720"/>
      </w:pPr>
      <w:r>
        <w:rPr>
          <w:rFonts w:ascii="Times New Roman" w:hAnsi="Times New Roman" w:eastAsia="宋体"/>
          <w:b w:val="0"/>
          <w:sz w:val="24"/>
        </w:rPr>
        <w:t>Compounding this uncertainty, the measurements that drive these choices are themselves imperfect. mpMRI misses clinically significant cancer in a minority of men [14]; PI-RADS readings agree only moderately between readers [15,16], and image quality gates their interpretation [17]; PSA-density thresholds temper but do not settle the decision [18]. Every configuration carries the procedure's well-characterised complication burden [19,20], and the ProBIOPSY consensus documented substantial international practice variation across exactly these choices [21].</w:t>
      </w:r>
    </w:p>
    <w:p>
      <w:pPr>
        <w:spacing w:line="480" w:lineRule="auto" w:before="0" w:after="0"/>
        <w:ind w:firstLine="720"/>
      </w:pPr>
      <w:r>
        <w:rPr>
          <w:rFonts w:ascii="Times New Roman" w:hAnsi="Times New Roman" w:eastAsia="宋体"/>
          <w:b w:val="0"/>
          <w:sz w:val="24"/>
        </w:rPr>
        <w:t>Written guidance has not closed these gaps. The EAU Prostate Cancer Guidelines [22], the AUA/ASTRO Clinically Localized Prostate Cancer Guideline [23] with its 2026 Amendment [24], and the ProBIOPSY consensus [21] converge on the same decision points. Yet a guideline is reference material, not an instrument: at the decision point the clinician must assemble 51 patient-scenario archetypes × 54 biopsy decisions, each combination carrying its own evidence, and no lookup table covers the combinatorics. Software is needed — but existing approaches fall short in complementary ways.</w:t>
      </w:r>
    </w:p>
    <w:p>
      <w:pPr>
        <w:spacing w:line="480" w:lineRule="auto" w:before="0" w:after="0"/>
        <w:ind w:firstLine="720"/>
      </w:pPr>
      <w:r>
        <w:rPr>
          <w:rFonts w:ascii="Times New Roman" w:hAnsi="Times New Roman" w:eastAsia="宋体"/>
          <w:b w:val="0"/>
          <w:sz w:val="24"/>
        </w:rPr>
        <w:t>Rule-based clinical decision support is deterministic but slow to update [25], breeds alert fatigue [26], and cannot digest natural-language evidence [27]. Large language models (LLMs) supply the missing linguistic flexibility [28,29] and approach expert performance on medical question answering [30,31], but they hallucinate and lack verifiable provenance [32], drift from guidelines as they age [33], and give confidently generic advice where patient-specific context changes the answer.</w:t>
      </w:r>
    </w:p>
    <w:p>
      <w:pPr>
        <w:spacing w:line="480" w:lineRule="auto" w:before="0" w:after="0"/>
        <w:ind w:firstLine="720"/>
      </w:pPr>
      <w:r>
        <w:rPr>
          <w:rFonts w:ascii="Times New Roman" w:hAnsi="Times New Roman" w:eastAsia="宋体"/>
          <w:b w:val="0"/>
          <w:sz w:val="24"/>
        </w:rPr>
        <w:t>For example, asked "Should a 70-year-old man with locally advanced disease undergo extended systematic prostate biopsy?", a general-purpose LLM may respond: "Yes, extended 12-core systematic biopsy is the standard approach." Yet the consensus for suspected locally advanced disease recommends reducing systematic biopsy to a maximum of six cores. The LLM's answer is not hallucinated — it is the right answer for the wrong patient.</w:t>
      </w:r>
    </w:p>
    <w:p>
      <w:pPr>
        <w:spacing w:line="480" w:lineRule="auto" w:before="0" w:after="0"/>
        <w:ind w:firstLine="720"/>
      </w:pPr>
      <w:r>
        <w:rPr>
          <w:rFonts w:ascii="Times New Roman" w:hAnsi="Times New Roman" w:eastAsia="宋体"/>
          <w:b w:val="0"/>
          <w:sz w:val="24"/>
        </w:rPr>
        <w:t xml:space="preserve">A rapidly growing family of domain agents — for atrial-fibrillation self-management [34], hypertension management [35], prostate-cancer education [36], knowledge-graph-grounded dietary recommendations [37], and gene-set analysis [38] — demonstrates that specialised medical AI is feasible. But none is benchmarked against a statement-level guideline gold standard, and all rely on prompt-level rather than binding safeguards. Retrieval-augmented generation (RAG) grounds generation in an external corpus [39] and medical RAG benchmarks show promise [40], but retrieval alone has no mechanism to </w:t>
      </w:r>
      <w:r>
        <w:rPr>
          <w:rFonts w:ascii="Times New Roman" w:hAnsi="Times New Roman" w:eastAsia="宋体"/>
          <w:b w:val="0"/>
          <w:i/>
          <w:sz w:val="24"/>
        </w:rPr>
        <w:t>forbid</w:t>
      </w:r>
      <w:r>
        <w:rPr>
          <w:rFonts w:ascii="Times New Roman" w:hAnsi="Times New Roman" w:eastAsia="宋体"/>
          <w:b w:val="0"/>
          <w:sz w:val="24"/>
        </w:rPr>
        <w:t xml:space="preserve"> a fluent recommendation that contradicts the guideline.</w:t>
      </w:r>
    </w:p>
    <w:p>
      <w:pPr>
        <w:spacing w:line="480" w:lineRule="auto" w:before="0" w:after="0"/>
        <w:ind w:firstLine="720"/>
      </w:pPr>
      <w:r>
        <w:rPr>
          <w:rFonts w:ascii="Times New Roman" w:hAnsi="Times New Roman" w:eastAsia="宋体"/>
          <w:b w:val="0"/>
          <w:sz w:val="24"/>
        </w:rPr>
        <w:t>What is needed, therefore, is a system that combines the linguistic flexibility of LLMs, the traceable evidence chain of knowledge-graph retrieval, and the deterministic safety of hard constraints — each covering the others' failure modes. This integration is consistent with emerging roadmaps for unifying large language models and knowledge graphs [41]. QianLieAnHui is that system, realised as an agent. Its rule engine mechanically enforces consensus constraints that prompting cannot; its retrieval layer surfaces the evidence chain behind each recommendation; and its arbiter supplies the linguistic flexibility that rules alone cannot provide.</w:t>
      </w:r>
    </w:p>
    <w:p>
      <w:pPr>
        <w:spacing w:line="480" w:lineRule="auto" w:before="0" w:after="0"/>
        <w:ind w:firstLine="720"/>
      </w:pPr>
      <w:r>
        <w:rPr>
          <w:rFonts w:ascii="Times New Roman" w:hAnsi="Times New Roman" w:eastAsia="宋体"/>
          <w:b w:val="0"/>
          <w:sz w:val="24"/>
        </w:rPr>
        <w:t>We developed and validated QianLieAnHui (前列安汇; "probiopsy-rag"), a decision-support agent for the prostate biopsy pathway, and quantified each architectural layer's contribution with a multi-method, multi-seed benchmark against the 112 ProBIOPSY final statements. Our contributions are:</w:t>
      </w:r>
    </w:p>
    <w:p>
      <w:pPr>
        <w:spacing w:line="480" w:lineRule="auto" w:before="0" w:after="0"/>
        <w:ind w:firstLine="720"/>
      </w:pPr>
      <w:r>
        <w:rPr>
          <w:rFonts w:ascii="Times New Roman" w:hAnsi="Times New Roman" w:eastAsia="宋体"/>
          <w:b w:val="0"/>
          <w:sz w:val="24"/>
        </w:rPr>
        <w:t xml:space="preserve">1. </w:t>
      </w:r>
      <w:r>
        <w:rPr>
          <w:rFonts w:ascii="Times New Roman" w:hAnsi="Times New Roman" w:eastAsia="宋体"/>
          <w:b/>
          <w:sz w:val="24"/>
        </w:rPr>
        <w:t>Architecture.</w:t>
      </w:r>
      <w:r>
        <w:rPr>
          <w:rFonts w:ascii="Times New Roman" w:hAnsi="Times New Roman" w:eastAsia="宋体"/>
          <w:b w:val="0"/>
          <w:sz w:val="24"/>
        </w:rPr>
        <w:t xml:space="preserve"> To our knowledge the first biopsy-pathway decision-support agent — a machine-executable consensus checklist chaining deterministic rule hard constraints, LightRAG knowledge-graph retrieval, and LLM arbitration — aligned statement-by-statement with an international consensus.</w:t>
      </w:r>
    </w:p>
    <w:p>
      <w:pPr>
        <w:spacing w:line="480" w:lineRule="auto" w:before="0" w:after="0"/>
        <w:ind w:firstLine="720"/>
      </w:pPr>
      <w:r>
        <w:rPr>
          <w:rFonts w:ascii="Times New Roman" w:hAnsi="Times New Roman" w:eastAsia="宋体"/>
          <w:b w:val="0"/>
          <w:sz w:val="24"/>
        </w:rPr>
        <w:t xml:space="preserve">2. </w:t>
      </w:r>
      <w:r>
        <w:rPr>
          <w:rFonts w:ascii="Times New Roman" w:hAnsi="Times New Roman" w:eastAsia="宋体"/>
          <w:b/>
          <w:sz w:val="24"/>
        </w:rPr>
        <w:t>Gold-standard alignment.</w:t>
      </w:r>
      <w:r>
        <w:rPr>
          <w:rFonts w:ascii="Times New Roman" w:hAnsi="Times New Roman" w:eastAsia="宋体"/>
          <w:b w:val="0"/>
          <w:sz w:val="24"/>
        </w:rPr>
        <w:t xml:space="preserve"> All 112 final statements mapped to five executable actions (endorse / endorse_option / conditional / report_option / against); we show that the two nuance-bearing classes — conditional and endorse_option — are almost never emitted by retrieval-augmented baselines, and are placed correctly by no baseline method.</w:t>
      </w:r>
    </w:p>
    <w:p>
      <w:pPr>
        <w:spacing w:line="480" w:lineRule="auto" w:before="0" w:after="0"/>
        <w:ind w:firstLine="720"/>
      </w:pPr>
      <w:r>
        <w:rPr>
          <w:rFonts w:ascii="Times New Roman" w:hAnsi="Times New Roman" w:eastAsia="宋体"/>
          <w:b w:val="0"/>
          <w:sz w:val="24"/>
        </w:rPr>
        <w:t xml:space="preserve">3. </w:t>
      </w:r>
      <w:r>
        <w:rPr>
          <w:rFonts w:ascii="Times New Roman" w:hAnsi="Times New Roman" w:eastAsia="宋体"/>
          <w:b/>
          <w:sz w:val="24"/>
        </w:rPr>
        <w:t>Reproducible benchmark.</w:t>
      </w:r>
      <w:r>
        <w:rPr>
          <w:rFonts w:ascii="Times New Roman" w:hAnsi="Times New Roman" w:eastAsia="宋体"/>
          <w:b w:val="0"/>
          <w:sz w:val="24"/>
        </w:rPr>
        <w:t xml:space="preserve"> With the generator tier held fixed, the full system reached exact-5 0.805 (κ 0.730) versus pure-LLM 0.304, naive RAG 0.605, and LightRAG-only 0.613; upgrading the generator tier did not rescue baseline architectures (naive RAG exact-5 fell to 0.538).</w:t>
      </w:r>
    </w:p>
    <w:p>
      <w:pPr>
        <w:spacing w:line="480" w:lineRule="auto" w:before="0" w:after="0"/>
        <w:ind w:firstLine="720"/>
      </w:pPr>
      <w:r>
        <w:rPr>
          <w:rFonts w:ascii="Times New Roman" w:hAnsi="Times New Roman" w:eastAsia="宋体"/>
          <w:b w:val="0"/>
          <w:sz w:val="24"/>
        </w:rPr>
        <w:t xml:space="preserve">4. </w:t>
      </w:r>
      <w:r>
        <w:rPr>
          <w:rFonts w:ascii="Times New Roman" w:hAnsi="Times New Roman" w:eastAsia="宋体"/>
          <w:b/>
          <w:sz w:val="24"/>
        </w:rPr>
        <w:t>Reproducibility.</w:t>
      </w:r>
      <w:r>
        <w:rPr>
          <w:rFonts w:ascii="Times New Roman" w:hAnsi="Times New Roman" w:eastAsia="宋体"/>
          <w:b w:val="0"/>
          <w:sz w:val="24"/>
        </w:rPr>
        <w:t xml:space="preserve"> Rules, registries, evidence corpus, all 2,240 raw predictions, and evaluation scripts are released; the index records the rule-file SHA-256 at build time so the app can verify index–rules version integrity.</w:t>
      </w:r>
    </w:p>
    <w:p>
      <w:pPr>
        <w:spacing w:line="480" w:lineRule="auto" w:before="0" w:after="0"/>
        <w:ind w:firstLine="720"/>
      </w:pPr>
      <w:r>
        <w:rPr>
          <w:rFonts w:ascii="Times New Roman" w:hAnsi="Times New Roman" w:eastAsia="宋体"/>
          <w:b w:val="0"/>
          <w:sz w:val="24"/>
        </w:rPr>
        <w:t xml:space="preserve">5. </w:t>
      </w:r>
      <w:r>
        <w:rPr>
          <w:rFonts w:ascii="Times New Roman" w:hAnsi="Times New Roman" w:eastAsia="宋体"/>
          <w:b/>
          <w:sz w:val="24"/>
        </w:rPr>
        <w:t>Patient-facing education.</w:t>
      </w:r>
      <w:r>
        <w:rPr>
          <w:rFonts w:ascii="Times New Roman" w:hAnsi="Times New Roman" w:eastAsia="宋体"/>
          <w:b w:val="0"/>
          <w:sz w:val="24"/>
        </w:rPr>
        <w:t xml:space="preserve"> An education mode that serves patients and families from the same audited evidence chain — the frozen consensus corpus plus a curated, source-traceable fact base — answering in lay language the questions clinicians have no time for: what a benign report does and does not mean, HGPIN and ASAP, pain and anaesthesia, and post-biopsy warning signs.</w:t>
      </w:r>
    </w:p>
    <w:p>
      <w:pPr>
        <w:spacing w:line="360" w:lineRule="auto" w:before="240" w:after="120"/>
        <w:outlineLvl w:val="1"/>
      </w:pPr>
      <w:r>
        <w:rPr>
          <w:rFonts w:ascii="Times New Roman" w:hAnsi="Times New Roman" w:eastAsia="宋体"/>
          <w:b/>
          <w:sz w:val="28"/>
        </w:rPr>
        <w:t>Methods</w:t>
      </w:r>
    </w:p>
    <w:p>
      <w:pPr>
        <w:spacing w:line="360" w:lineRule="auto" w:before="240" w:after="120"/>
        <w:outlineLvl w:val="2"/>
      </w:pPr>
      <w:r>
        <w:rPr>
          <w:rFonts w:ascii="Times New Roman" w:hAnsi="Times New Roman" w:eastAsia="宋体"/>
          <w:b/>
          <w:sz w:val="24"/>
        </w:rPr>
        <w:t>Study design and ethics</w:t>
      </w:r>
    </w:p>
    <w:p>
      <w:pPr>
        <w:spacing w:line="480" w:lineRule="auto" w:before="0" w:after="0"/>
        <w:ind w:firstLine="720"/>
      </w:pPr>
      <w:r>
        <w:rPr>
          <w:rFonts w:ascii="Times New Roman" w:hAnsi="Times New Roman" w:eastAsia="宋体"/>
          <w:b w:val="0"/>
          <w:sz w:val="24"/>
        </w:rPr>
        <w:t>This is a system-development and benchmark-validation study. The computational evaluation involved no patient data or biological samples: the corpus derives solely from the published ProBIOPSY consensus and its supplementary material, the gold standard consists of the consensus' 112 published final statements, and demonstration cases are synthetic vignettes constructed by the study team. A four-expert blinded face-validity review was subsequently conducted (anonymous, voluntary participation; synthetic cases only; no identifiable data collected; participation-information sheet embedded in the questionnaire). Because no patient data and no interventional procedures were involved, institutional review board approval was not required (assessment documented during project planning).</w:t>
      </w:r>
    </w:p>
    <w:p>
      <w:pPr>
        <w:spacing w:line="360" w:lineRule="auto" w:before="240" w:after="120"/>
        <w:outlineLvl w:val="2"/>
      </w:pPr>
      <w:r>
        <w:rPr>
          <w:rFonts w:ascii="Times New Roman" w:hAnsi="Times New Roman" w:eastAsia="宋体"/>
          <w:b/>
          <w:sz w:val="24"/>
        </w:rPr>
        <w:t>Validation set: 112 ProBIOPSY final statements</w:t>
      </w:r>
    </w:p>
    <w:p>
      <w:pPr>
        <w:spacing w:line="480" w:lineRule="auto" w:before="0" w:after="0"/>
        <w:ind w:firstLine="720"/>
      </w:pPr>
      <w:r>
        <w:rPr>
          <w:rFonts w:ascii="Times New Roman" w:hAnsi="Times New Roman" w:eastAsia="宋体"/>
          <w:b w:val="0"/>
          <w:sz w:val="24"/>
        </w:rPr>
        <w:t xml:space="preserve">All 112 final statements of the ProBIOPSY consensus [21] served as the gold standard. Each statement was mapped to an expected system action in a pre-defined five-class taxonomy: </w:t>
      </w:r>
      <w:r>
        <w:rPr>
          <w:rFonts w:ascii="Times New Roman" w:hAnsi="Times New Roman" w:eastAsia="宋体"/>
          <w:b/>
          <w:sz w:val="24"/>
        </w:rPr>
        <w:t>endorse</w:t>
      </w:r>
      <w:r>
        <w:rPr>
          <w:rFonts w:ascii="Times New Roman" w:hAnsi="Times New Roman" w:eastAsia="宋体"/>
          <w:b w:val="0"/>
          <w:sz w:val="24"/>
        </w:rPr>
        <w:t xml:space="preserve"> (support as stated), </w:t>
      </w:r>
      <w:r>
        <w:rPr>
          <w:rFonts w:ascii="Times New Roman" w:hAnsi="Times New Roman" w:eastAsia="宋体"/>
          <w:b/>
          <w:sz w:val="24"/>
        </w:rPr>
        <w:t>endorse_option</w:t>
      </w:r>
      <w:r>
        <w:rPr>
          <w:rFonts w:ascii="Times New Roman" w:hAnsi="Times New Roman" w:eastAsia="宋体"/>
          <w:b w:val="0"/>
          <w:sz w:val="24"/>
        </w:rPr>
        <w:t xml:space="preserve"> (support as one of several acceptable options), </w:t>
      </w:r>
      <w:r>
        <w:rPr>
          <w:rFonts w:ascii="Times New Roman" w:hAnsi="Times New Roman" w:eastAsia="宋体"/>
          <w:b/>
          <w:sz w:val="24"/>
        </w:rPr>
        <w:t>conditional</w:t>
      </w:r>
      <w:r>
        <w:rPr>
          <w:rFonts w:ascii="Times New Roman" w:hAnsi="Times New Roman" w:eastAsia="宋体"/>
          <w:b w:val="0"/>
          <w:sz w:val="24"/>
        </w:rPr>
        <w:t xml:space="preserve"> (support under specified conditions), </w:t>
      </w:r>
      <w:r>
        <w:rPr>
          <w:rFonts w:ascii="Times New Roman" w:hAnsi="Times New Roman" w:eastAsia="宋体"/>
          <w:b/>
          <w:sz w:val="24"/>
        </w:rPr>
        <w:t>report_option</w:t>
      </w:r>
      <w:r>
        <w:rPr>
          <w:rFonts w:ascii="Times New Roman" w:hAnsi="Times New Roman" w:eastAsia="宋体"/>
          <w:b w:val="0"/>
          <w:sz w:val="24"/>
        </w:rPr>
        <w:t xml:space="preserve"> (present as an available pathway without active recommendation), and </w:t>
      </w:r>
      <w:r>
        <w:rPr>
          <w:rFonts w:ascii="Times New Roman" w:hAnsi="Times New Roman" w:eastAsia="宋体"/>
          <w:b/>
          <w:sz w:val="24"/>
        </w:rPr>
        <w:t>against</w:t>
      </w:r>
      <w:r>
        <w:rPr>
          <w:rFonts w:ascii="Times New Roman" w:hAnsi="Times New Roman" w:eastAsia="宋体"/>
          <w:b w:val="0"/>
          <w:sz w:val="24"/>
        </w:rPr>
        <w:t xml:space="preserve"> (recommend against). The gold-standard action distribution is endorse 190, conditional 185, against 125, endorse_option 35, and report_option 25. Statements span three domains: indication (n = 23), procedure (n = 34), and treatment planning (n = 55, anchored by ISUP grade-group–driven treatment decisions [42]); 25 statements (22.3%) are against-class, providing a demanding test for systems with optimism bias. The five demonstration vignettes described under Results are synthetic cases built on the same registries and are not part of the 112-statement evaluation set.</w:t>
      </w:r>
    </w:p>
    <w:p>
      <w:pPr>
        <w:spacing w:line="360" w:lineRule="auto" w:before="240" w:after="120"/>
        <w:outlineLvl w:val="2"/>
      </w:pPr>
      <w:r>
        <w:rPr>
          <w:rFonts w:ascii="Times New Roman" w:hAnsi="Times New Roman" w:eastAsia="宋体"/>
          <w:b/>
          <w:sz w:val="24"/>
        </w:rPr>
        <w:t>System architecture</w:t>
      </w:r>
    </w:p>
    <w:p>
      <w:pPr>
        <w:spacing w:line="480" w:lineRule="auto" w:before="0" w:after="0"/>
        <w:ind w:firstLine="720"/>
      </w:pPr>
      <w:r>
        <w:rPr>
          <w:rFonts w:ascii="Times New Roman" w:hAnsi="Times New Roman" w:eastAsia="宋体"/>
          <w:b w:val="0"/>
          <w:sz w:val="24"/>
        </w:rPr>
        <w:t>The input is a pair (patient clinical scenario × biopsy decision item); the output is a structured verdict: one of five actions, a confidence value, triggered rules, and citations to numbered consensus statements and evidence chunks (Figure 1).</w:t>
      </w:r>
    </w:p>
    <w:p>
      <w:pPr>
        <w:spacing w:line="480" w:lineRule="auto" w:before="0" w:after="0"/>
        <w:ind w:firstLine="720"/>
      </w:pPr>
      <w:r>
        <w:rPr>
          <w:rFonts w:ascii="Times New Roman" w:hAnsi="Times New Roman" w:eastAsia="宋体"/>
          <w:b/>
          <w:sz w:val="24"/>
        </w:rPr>
        <w:t>Input layer: dual registries.</w:t>
      </w:r>
      <w:r>
        <w:rPr>
          <w:rFonts w:ascii="Times New Roman" w:hAnsi="Times New Roman" w:eastAsia="宋体"/>
          <w:b w:val="0"/>
          <w:sz w:val="24"/>
        </w:rPr>
        <w:t xml:space="preserve"> Entity A (patient scenarios) contains 51 archetypes with 49 distinct scenario flags across imaging (PI-RADS grade, mpMRI/bpMRI, field strength, PI-QUAL quality [17]), laboratory markers (PSA, PSA density), history and risk (prior negative biopsy, family history, infection risk factors, anticoagulation), treatment intent, and resource availability (Table 1). Entity B (decision items) contains 54 items with 20 flags across indication (22), procedure (22), and treatment-planning linkage (10).</w:t>
      </w:r>
    </w:p>
    <w:p>
      <w:pPr>
        <w:spacing w:line="480" w:lineRule="auto" w:before="0" w:after="0"/>
        <w:ind w:firstLine="720"/>
      </w:pPr>
      <w:r>
        <w:rPr>
          <w:rFonts w:ascii="Times New Roman" w:hAnsi="Times New Roman" w:eastAsia="宋体"/>
          <w:b/>
          <w:sz w:val="24"/>
        </w:rPr>
        <w:t>Table 1.</w:t>
      </w:r>
      <w:r>
        <w:rPr>
          <w:rFonts w:ascii="Times New Roman" w:hAnsi="Times New Roman" w:eastAsia="宋体"/>
          <w:b w:val="0"/>
          <w:sz w:val="24"/>
        </w:rPr>
        <w:t xml:space="preserve"> Dual entity registries: item and flag counts with category breakdown. The full registries are released as </w:t>
      </w:r>
      <w:r>
        <w:rPr>
          <w:rFonts w:ascii="Times New Roman" w:hAnsi="Times New Roman" w:eastAsia="宋体"/>
          <w:b w:val="0"/>
          <w:sz w:val="24"/>
        </w:rPr>
        <w:t>data/seed/entities_a.csv</w:t>
      </w:r>
      <w:r>
        <w:rPr>
          <w:rFonts w:ascii="Times New Roman" w:hAnsi="Times New Roman" w:eastAsia="宋体"/>
          <w:b w:val="0"/>
          <w:sz w:val="24"/>
        </w:rPr>
        <w:t xml:space="preserve"> and </w:t>
      </w:r>
      <w:r>
        <w:rPr>
          <w:rFonts w:ascii="Times New Roman" w:hAnsi="Times New Roman" w:eastAsia="宋体"/>
          <w:b w:val="0"/>
          <w:sz w:val="24"/>
        </w:rPr>
        <w:t>data/seed/entities_b.csv</w:t>
      </w:r>
      <w:r>
        <w:rPr>
          <w:rFonts w:ascii="Times New Roman" w:hAnsi="Times New Roman" w:eastAsia="宋体"/>
          <w:b w:val="0"/>
          <w:sz w:val="24"/>
        </w:rPr>
        <w:t>.</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76" w:lineRule="auto"/>
            </w:pPr>
            <w:r/>
            <w:r>
              <w:rPr>
                <w:rFonts w:ascii="Times New Roman" w:hAnsi="Times New Roman" w:eastAsia="宋体"/>
                <w:b/>
                <w:sz w:val="21"/>
              </w:rPr>
              <w:t>registry</w:t>
            </w:r>
          </w:p>
        </w:tc>
        <w:tc>
          <w:tcPr>
            <w:tcW w:type="dxa" w:w="1662"/>
          </w:tcPr>
          <w:p>
            <w:pPr>
              <w:spacing w:line="276" w:lineRule="auto"/>
            </w:pPr>
            <w:r/>
            <w:r>
              <w:rPr>
                <w:rFonts w:ascii="Times New Roman" w:hAnsi="Times New Roman" w:eastAsia="宋体"/>
                <w:b/>
                <w:sz w:val="21"/>
              </w:rPr>
              <w:t>n_items</w:t>
            </w:r>
          </w:p>
        </w:tc>
        <w:tc>
          <w:tcPr>
            <w:tcW w:type="dxa" w:w="1662"/>
          </w:tcPr>
          <w:p>
            <w:pPr>
              <w:spacing w:line="276" w:lineRule="auto"/>
            </w:pPr>
            <w:r/>
            <w:r>
              <w:rPr>
                <w:rFonts w:ascii="Times New Roman" w:hAnsi="Times New Roman" w:eastAsia="宋体"/>
                <w:b/>
                <w:sz w:val="21"/>
              </w:rPr>
              <w:t>n_unique_flags</w:t>
            </w:r>
          </w:p>
        </w:tc>
        <w:tc>
          <w:tcPr>
            <w:tcW w:type="dxa" w:w="1662"/>
          </w:tcPr>
          <w:p>
            <w:pPr>
              <w:spacing w:line="276" w:lineRule="auto"/>
            </w:pPr>
            <w:r/>
            <w:r>
              <w:rPr>
                <w:rFonts w:ascii="Times New Roman" w:hAnsi="Times New Roman" w:eastAsia="宋体"/>
                <w:b/>
                <w:sz w:val="21"/>
              </w:rPr>
              <w:t>category_breakdown</w:t>
            </w:r>
          </w:p>
        </w:tc>
        <w:tc>
          <w:tcPr>
            <w:tcW w:type="dxa" w:w="1662"/>
          </w:tcPr>
          <w:p>
            <w:pPr>
              <w:spacing w:line="276" w:lineRule="auto"/>
            </w:pPr>
            <w:r/>
            <w:r>
              <w:rPr>
                <w:rFonts w:ascii="Times New Roman" w:hAnsi="Times New Roman" w:eastAsia="宋体"/>
                <w:b/>
                <w:sz w:val="21"/>
              </w:rPr>
              <w:t>source_file</w:t>
            </w:r>
          </w:p>
        </w:tc>
      </w:tr>
      <w:tr>
        <w:tc>
          <w:tcPr>
            <w:tcW w:type="dxa" w:w="1662"/>
          </w:tcPr>
          <w:p>
            <w:pPr>
              <w:spacing w:line="276" w:lineRule="auto"/>
            </w:pPr>
            <w:r/>
            <w:r>
              <w:rPr>
                <w:rFonts w:ascii="Times New Roman" w:hAnsi="Times New Roman" w:eastAsia="宋体"/>
                <w:b w:val="0"/>
                <w:sz w:val="21"/>
              </w:rPr>
              <w:t>A_patient_scenarios</w:t>
            </w:r>
          </w:p>
        </w:tc>
        <w:tc>
          <w:tcPr>
            <w:tcW w:type="dxa" w:w="1662"/>
          </w:tcPr>
          <w:p>
            <w:pPr>
              <w:spacing w:line="276" w:lineRule="auto"/>
            </w:pPr>
            <w:r/>
            <w:r>
              <w:rPr>
                <w:rFonts w:ascii="Times New Roman" w:hAnsi="Times New Roman" w:eastAsia="宋体"/>
                <w:b w:val="0"/>
                <w:sz w:val="21"/>
              </w:rPr>
              <w:t>51</w:t>
            </w:r>
          </w:p>
        </w:tc>
        <w:tc>
          <w:tcPr>
            <w:tcW w:type="dxa" w:w="1662"/>
          </w:tcPr>
          <w:p>
            <w:pPr>
              <w:spacing w:line="276" w:lineRule="auto"/>
            </w:pPr>
            <w:r/>
            <w:r>
              <w:rPr>
                <w:rFonts w:ascii="Times New Roman" w:hAnsi="Times New Roman" w:eastAsia="宋体"/>
                <w:b w:val="0"/>
                <w:sz w:val="21"/>
              </w:rPr>
              <w:t>49</w:t>
            </w:r>
          </w:p>
        </w:tc>
        <w:tc>
          <w:tcPr>
            <w:tcW w:type="dxa" w:w="1662"/>
          </w:tcPr>
          <w:p>
            <w:pPr>
              <w:spacing w:line="276" w:lineRule="auto"/>
            </w:pPr>
            <w:r/>
            <w:r>
              <w:rPr>
                <w:rFonts w:ascii="Times New Roman" w:hAnsi="Times New Roman" w:eastAsia="宋体"/>
                <w:b w:val="0"/>
                <w:sz w:val="21"/>
              </w:rPr>
              <w:t>imaging=17; lab_biomarker=9; clinical=7; history_risk=6; treatment_intent=6; resource_availability=5; demographic=1</w:t>
            </w:r>
          </w:p>
        </w:tc>
        <w:tc>
          <w:tcPr>
            <w:tcW w:type="dxa" w:w="1662"/>
          </w:tcPr>
          <w:p>
            <w:pPr>
              <w:spacing w:line="276" w:lineRule="auto"/>
            </w:pPr>
            <w:r/>
            <w:r>
              <w:rPr>
                <w:rFonts w:ascii="Times New Roman" w:hAnsi="Times New Roman" w:eastAsia="宋体"/>
                <w:b w:val="0"/>
                <w:sz w:val="21"/>
              </w:rPr>
              <w:t>data/seed/entities_a.csv</w:t>
            </w:r>
          </w:p>
        </w:tc>
      </w:tr>
      <w:tr>
        <w:tc>
          <w:tcPr>
            <w:tcW w:type="dxa" w:w="1662"/>
          </w:tcPr>
          <w:p>
            <w:pPr>
              <w:spacing w:line="276" w:lineRule="auto"/>
            </w:pPr>
            <w:r/>
            <w:r>
              <w:rPr>
                <w:rFonts w:ascii="Times New Roman" w:hAnsi="Times New Roman" w:eastAsia="宋体"/>
                <w:b w:val="0"/>
                <w:sz w:val="21"/>
              </w:rPr>
              <w:t>B_decision_items</w:t>
            </w:r>
          </w:p>
        </w:tc>
        <w:tc>
          <w:tcPr>
            <w:tcW w:type="dxa" w:w="1662"/>
          </w:tcPr>
          <w:p>
            <w:pPr>
              <w:spacing w:line="276" w:lineRule="auto"/>
            </w:pPr>
            <w:r/>
            <w:r>
              <w:rPr>
                <w:rFonts w:ascii="Times New Roman" w:hAnsi="Times New Roman" w:eastAsia="宋体"/>
                <w:b w:val="0"/>
                <w:sz w:val="21"/>
              </w:rPr>
              <w:t>54</w:t>
            </w:r>
          </w:p>
        </w:tc>
        <w:tc>
          <w:tcPr>
            <w:tcW w:type="dxa" w:w="1662"/>
          </w:tcPr>
          <w:p>
            <w:pPr>
              <w:spacing w:line="276" w:lineRule="auto"/>
            </w:pPr>
            <w:r/>
            <w:r>
              <w:rPr>
                <w:rFonts w:ascii="Times New Roman" w:hAnsi="Times New Roman" w:eastAsia="宋体"/>
                <w:b w:val="0"/>
                <w:sz w:val="21"/>
              </w:rPr>
              <w:t>20</w:t>
            </w:r>
          </w:p>
        </w:tc>
        <w:tc>
          <w:tcPr>
            <w:tcW w:type="dxa" w:w="1662"/>
          </w:tcPr>
          <w:p>
            <w:pPr>
              <w:spacing w:line="276" w:lineRule="auto"/>
            </w:pPr>
            <w:r/>
            <w:r>
              <w:rPr>
                <w:rFonts w:ascii="Times New Roman" w:hAnsi="Times New Roman" w:eastAsia="宋体"/>
                <w:b w:val="0"/>
                <w:sz w:val="21"/>
              </w:rPr>
              <w:t>indication=22; procedure=22; treatment_planning=10</w:t>
            </w:r>
          </w:p>
        </w:tc>
        <w:tc>
          <w:tcPr>
            <w:tcW w:type="dxa" w:w="1662"/>
          </w:tcPr>
          <w:p>
            <w:pPr>
              <w:spacing w:line="276" w:lineRule="auto"/>
            </w:pPr>
            <w:r/>
            <w:r>
              <w:rPr>
                <w:rFonts w:ascii="Times New Roman" w:hAnsi="Times New Roman" w:eastAsia="宋体"/>
                <w:b w:val="0"/>
                <w:sz w:val="21"/>
              </w:rPr>
              <w:t>data/seed/entities_b.csv</w:t>
            </w:r>
          </w:p>
        </w:tc>
      </w:tr>
    </w:tbl>
    <w:p/>
    <w:p>
      <w:pPr>
        <w:spacing w:line="480" w:lineRule="auto" w:before="0" w:after="0"/>
        <w:ind w:firstLine="720"/>
      </w:pPr>
      <w:r>
        <w:rPr>
          <w:rFonts w:ascii="Times New Roman" w:hAnsi="Times New Roman" w:eastAsia="宋体"/>
          <w:b/>
          <w:sz w:val="24"/>
        </w:rPr>
        <w:t>Layer 1: deterministic rule engine.</w:t>
      </w:r>
      <w:r>
        <w:rPr>
          <w:rFonts w:ascii="Times New Roman" w:hAnsi="Times New Roman" w:eastAsia="宋体"/>
          <w:b w:val="0"/>
          <w:sz w:val="24"/>
        </w:rPr>
        <w:t xml:space="preserve"> The rule base (YAML) holds 16 rules: 12 consensus rules and 4 patient-factor escalation rules (Table 2). Each rule specifies trigger flag combinations (Entity A × Entity B flags), severity, mechanism category (imaging pathway, scheme selection, targeted biopsy, perioperative, treatment planning), and recommended action. Matching is fully deterministic — no LLM involved — and produces hard constraints for downstream layers (e.g., a mandatory veto or mandatory escalation), each carrying ProBIOPSY statement numbers (Q-codes) for provenance. Patient-factor rules escalate consensus rules in context (e.g., infection risk factors → prefer transperineal route or augmented prophylaxis; unfit for curative treatment → simplified biopsy scheme).</w:t>
      </w:r>
    </w:p>
    <w:p>
      <w:pPr>
        <w:spacing w:line="480" w:lineRule="auto" w:before="0" w:after="0"/>
        <w:ind w:firstLine="720"/>
      </w:pPr>
      <w:r>
        <w:rPr>
          <w:rFonts w:ascii="Times New Roman" w:hAnsi="Times New Roman" w:eastAsia="宋体"/>
          <w:b/>
          <w:sz w:val="24"/>
        </w:rPr>
        <w:t>Table 2.</w:t>
      </w:r>
      <w:r>
        <w:rPr>
          <w:rFonts w:ascii="Times New Roman" w:hAnsi="Times New Roman" w:eastAsia="宋体"/>
          <w:b w:val="0"/>
          <w:sz w:val="24"/>
        </w:rPr>
        <w:t xml:space="preserve"> The 16-rule base: 12 consensus rules and 4 patient-factor escalation rules. Trigger-flag counts are per rule set; full trigger definitions, recommended actions, and Q-code citations are released in </w:t>
      </w:r>
      <w:r>
        <w:rPr>
          <w:rFonts w:ascii="Times New Roman" w:hAnsi="Times New Roman" w:eastAsia="宋体"/>
          <w:b w:val="0"/>
          <w:sz w:val="24"/>
        </w:rPr>
        <w:t>configs/rules.yaml</w:t>
      </w:r>
      <w:r>
        <w:rPr>
          <w:rFonts w:ascii="Times New Roman" w:hAnsi="Times New Roman" w:eastAsia="宋体"/>
          <w:b w:val="0"/>
          <w:sz w:val="24"/>
        </w:rPr>
        <w:t>.</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76" w:lineRule="auto"/>
            </w:pPr>
            <w:r/>
            <w:r>
              <w:rPr>
                <w:rFonts w:ascii="Times New Roman" w:hAnsi="Times New Roman" w:eastAsia="宋体"/>
                <w:b/>
                <w:sz w:val="21"/>
              </w:rPr>
              <w:t>rule_id</w:t>
            </w:r>
          </w:p>
        </w:tc>
        <w:tc>
          <w:tcPr>
            <w:tcW w:type="dxa" w:w="1187"/>
          </w:tcPr>
          <w:p>
            <w:pPr>
              <w:spacing w:line="276" w:lineRule="auto"/>
            </w:pPr>
            <w:r/>
            <w:r>
              <w:rPr>
                <w:rFonts w:ascii="Times New Roman" w:hAnsi="Times New Roman" w:eastAsia="宋体"/>
                <w:b/>
                <w:sz w:val="21"/>
              </w:rPr>
              <w:t>rule_set</w:t>
            </w:r>
          </w:p>
        </w:tc>
        <w:tc>
          <w:tcPr>
            <w:tcW w:type="dxa" w:w="1187"/>
          </w:tcPr>
          <w:p>
            <w:pPr>
              <w:spacing w:line="276" w:lineRule="auto"/>
            </w:pPr>
            <w:r/>
            <w:r>
              <w:rPr>
                <w:rFonts w:ascii="Times New Roman" w:hAnsi="Times New Roman" w:eastAsia="宋体"/>
                <w:b/>
                <w:sz w:val="21"/>
              </w:rPr>
              <w:t>severity</w:t>
            </w:r>
          </w:p>
        </w:tc>
        <w:tc>
          <w:tcPr>
            <w:tcW w:type="dxa" w:w="1187"/>
          </w:tcPr>
          <w:p>
            <w:pPr>
              <w:spacing w:line="276" w:lineRule="auto"/>
            </w:pPr>
            <w:r/>
            <w:r>
              <w:rPr>
                <w:rFonts w:ascii="Times New Roman" w:hAnsi="Times New Roman" w:eastAsia="宋体"/>
                <w:b/>
                <w:sz w:val="21"/>
              </w:rPr>
              <w:t>risk_type</w:t>
            </w:r>
          </w:p>
        </w:tc>
        <w:tc>
          <w:tcPr>
            <w:tcW w:type="dxa" w:w="1187"/>
          </w:tcPr>
          <w:p>
            <w:pPr>
              <w:spacing w:line="276" w:lineRule="auto"/>
            </w:pPr>
            <w:r/>
            <w:r>
              <w:rPr>
                <w:rFonts w:ascii="Times New Roman" w:hAnsi="Times New Roman" w:eastAsia="宋体"/>
                <w:b/>
                <w:sz w:val="21"/>
              </w:rPr>
              <w:t>n_trigger_flags_a</w:t>
            </w:r>
          </w:p>
        </w:tc>
        <w:tc>
          <w:tcPr>
            <w:tcW w:type="dxa" w:w="1187"/>
          </w:tcPr>
          <w:p>
            <w:pPr>
              <w:spacing w:line="276" w:lineRule="auto"/>
            </w:pPr>
            <w:r/>
            <w:r>
              <w:rPr>
                <w:rFonts w:ascii="Times New Roman" w:hAnsi="Times New Roman" w:eastAsia="宋体"/>
                <w:b/>
                <w:sz w:val="21"/>
              </w:rPr>
              <w:t>n_target_flags_b</w:t>
            </w:r>
          </w:p>
        </w:tc>
        <w:tc>
          <w:tcPr>
            <w:tcW w:type="dxa" w:w="1187"/>
          </w:tcPr>
          <w:p>
            <w:pPr>
              <w:spacing w:line="276" w:lineRule="auto"/>
            </w:pPr>
            <w:r/>
            <w:r>
              <w:rPr>
                <w:rFonts w:ascii="Times New Roman" w:hAnsi="Times New Roman" w:eastAsia="宋体"/>
                <w:b/>
                <w:sz w:val="21"/>
              </w:rPr>
              <w:t>rationale_first_sentence</w:t>
            </w:r>
          </w:p>
        </w:tc>
      </w:tr>
      <w:tr>
        <w:tc>
          <w:tcPr>
            <w:tcW w:type="dxa" w:w="1187"/>
          </w:tcPr>
          <w:p>
            <w:pPr>
              <w:spacing w:line="276" w:lineRule="auto"/>
            </w:pPr>
            <w:r/>
            <w:r>
              <w:rPr>
                <w:rFonts w:ascii="Times New Roman" w:hAnsi="Times New Roman" w:eastAsia="宋体"/>
                <w:b w:val="0"/>
                <w:sz w:val="21"/>
              </w:rPr>
              <w:t>mri_acquisition_quality_pathway</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r>
              <w:rPr>
                <w:rFonts w:ascii="Times New Roman" w:hAnsi="Times New Roman" w:eastAsia="宋体"/>
                <w:b w:val="0"/>
                <w:sz w:val="21"/>
              </w:rPr>
              <w:t>imaging_pathway</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Every prostate MRI must be checked against PI-QUAL v2 quality criteria before the biopsy pathway is decided (Q4a median 9, Q4b median 8 — consensus agree); a quality-assured scan — 1.5T or 3T, biparametric without routine contrast-enhanced sequences — is acceptable (Q1, Q5-Q7 median 8), and MRI that fails quality standards must not gate the biopsy decision.</w:t>
            </w:r>
          </w:p>
        </w:tc>
      </w:tr>
      <w:tr>
        <w:tc>
          <w:tcPr>
            <w:tcW w:type="dxa" w:w="1187"/>
          </w:tcPr>
          <w:p>
            <w:pPr>
              <w:spacing w:line="276" w:lineRule="auto"/>
            </w:pPr>
            <w:r/>
            <w:r>
              <w:rPr>
                <w:rFonts w:ascii="Times New Roman" w:hAnsi="Times New Roman" w:eastAsia="宋体"/>
                <w:b w:val="0"/>
                <w:sz w:val="21"/>
              </w:rPr>
              <w:t>indeterminate_lesion_ancillary_workup</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medium</w:t>
            </w:r>
          </w:p>
        </w:tc>
        <w:tc>
          <w:tcPr>
            <w:tcW w:type="dxa" w:w="1187"/>
          </w:tcPr>
          <w:p>
            <w:pPr>
              <w:spacing w:line="276" w:lineRule="auto"/>
            </w:pPr>
            <w:r/>
            <w:r>
              <w:rPr>
                <w:rFonts w:ascii="Times New Roman" w:hAnsi="Times New Roman" w:eastAsia="宋体"/>
                <w:b w:val="0"/>
                <w:sz w:val="21"/>
              </w:rPr>
              <w:t>ancillary_workup</w:t>
            </w:r>
          </w:p>
        </w:tc>
        <w:tc>
          <w:tcPr>
            <w:tcW w:type="dxa" w:w="1187"/>
          </w:tcPr>
          <w:p>
            <w:pPr>
              <w:spacing w:line="276" w:lineRule="auto"/>
            </w:pPr>
            <w:r/>
            <w:r>
              <w:rPr>
                <w:rFonts w:ascii="Times New Roman" w:hAnsi="Times New Roman" w:eastAsia="宋体"/>
                <w:b w:val="0"/>
                <w:sz w:val="21"/>
              </w:rPr>
              <w:t>8</w:t>
            </w:r>
          </w:p>
        </w:tc>
        <w:tc>
          <w:tcPr>
            <w:tcW w:type="dxa" w:w="1187"/>
          </w:tcPr>
          <w:p>
            <w:pPr>
              <w:spacing w:line="276" w:lineRule="auto"/>
            </w:pPr>
            <w:r/>
            <w:r>
              <w:rPr>
                <w:rFonts w:ascii="Times New Roman" w:hAnsi="Times New Roman" w:eastAsia="宋体"/>
                <w:b w:val="0"/>
                <w:sz w:val="21"/>
              </w:rPr>
              <w:t>10</w:t>
            </w:r>
          </w:p>
        </w:tc>
        <w:tc>
          <w:tcPr>
            <w:tcW w:type="dxa" w:w="1187"/>
          </w:tcPr>
          <w:p>
            <w:pPr>
              <w:spacing w:line="276" w:lineRule="auto"/>
            </w:pPr>
            <w:r/>
            <w:r>
              <w:rPr>
                <w:rFonts w:ascii="Times New Roman" w:hAnsi="Times New Roman" w:eastAsia="宋体"/>
                <w:b w:val="0"/>
                <w:sz w:val="21"/>
              </w:rPr>
              <w:t>For an indeterminate lesion (PI-RADS 3), ProBIOPSY endorses PSAD as the primary gate to reduce unnecessary biopsies — for bpMRI (Q11 median 7) and even more strongly for mpMRI (Q14 median 8) — whereas PSMA PET and microultrasound remain conditional options rather than standard workup (Q18, Q21).</w:t>
            </w:r>
          </w:p>
        </w:tc>
      </w:tr>
      <w:tr>
        <w:tc>
          <w:tcPr>
            <w:tcW w:type="dxa" w:w="1187"/>
          </w:tcPr>
          <w:p>
            <w:pPr>
              <w:spacing w:line="276" w:lineRule="auto"/>
            </w:pPr>
            <w:r/>
            <w:r>
              <w:rPr>
                <w:rFonts w:ascii="Times New Roman" w:hAnsi="Times New Roman" w:eastAsia="宋体"/>
                <w:b w:val="0"/>
                <w:sz w:val="21"/>
              </w:rPr>
              <w:t>negative_mri_high_suspicion_pathway</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r>
              <w:rPr>
                <w:rFonts w:ascii="Times New Roman" w:hAnsi="Times New Roman" w:eastAsia="宋体"/>
                <w:b w:val="0"/>
                <w:sz w:val="21"/>
              </w:rPr>
              <w:t>imaging_pathway</w:t>
            </w:r>
          </w:p>
        </w:tc>
        <w:tc>
          <w:tcPr>
            <w:tcW w:type="dxa" w:w="1187"/>
          </w:tcPr>
          <w:p>
            <w:pPr>
              <w:spacing w:line="276" w:lineRule="auto"/>
            </w:pPr>
            <w:r/>
            <w:r>
              <w:rPr>
                <w:rFonts w:ascii="Times New Roman" w:hAnsi="Times New Roman" w:eastAsia="宋体"/>
                <w:b w:val="0"/>
                <w:sz w:val="21"/>
              </w:rPr>
              <w:t>7</w:t>
            </w:r>
          </w:p>
        </w:tc>
        <w:tc>
          <w:tcPr>
            <w:tcW w:type="dxa" w:w="1187"/>
          </w:tcPr>
          <w:p>
            <w:pPr>
              <w:spacing w:line="276" w:lineRule="auto"/>
            </w:pPr>
            <w:r/>
            <w:r>
              <w:rPr>
                <w:rFonts w:ascii="Times New Roman" w:hAnsi="Times New Roman" w:eastAsia="宋体"/>
                <w:b w:val="0"/>
                <w:sz w:val="21"/>
              </w:rPr>
              <w:t>4</w:t>
            </w:r>
          </w:p>
        </w:tc>
        <w:tc>
          <w:tcPr>
            <w:tcW w:type="dxa" w:w="1187"/>
          </w:tcPr>
          <w:p>
            <w:pPr>
              <w:spacing w:line="276" w:lineRule="auto"/>
            </w:pPr>
            <w:r/>
            <w:r>
              <w:rPr>
                <w:rFonts w:ascii="Times New Roman" w:hAnsi="Times New Roman" w:eastAsia="宋体"/>
                <w:b w:val="0"/>
                <w:sz w:val="21"/>
              </w:rPr>
              <w:t>When MRI is negative but clinical suspicion remains high (abnormal DRE, persistently elevated PSA, strong family history, Black ethnicity, or prior negative biopsy), a 12-core systematic biopsy is still endorsed (Q25 median 7 — consensus agree; Q55a median 7) and PSMA PET may serve as an ancillary test (Q19 median 8 — consensus agree).</w:t>
            </w:r>
          </w:p>
        </w:tc>
      </w:tr>
      <w:tr>
        <w:tc>
          <w:tcPr>
            <w:tcW w:type="dxa" w:w="1187"/>
          </w:tcPr>
          <w:p>
            <w:pPr>
              <w:spacing w:line="276" w:lineRule="auto"/>
            </w:pPr>
            <w:r/>
            <w:r>
              <w:rPr>
                <w:rFonts w:ascii="Times New Roman" w:hAnsi="Times New Roman" w:eastAsia="宋体"/>
                <w:b w:val="0"/>
                <w:sz w:val="21"/>
              </w:rPr>
              <w:t>upfront_new_imaging_rejection</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r>
              <w:rPr>
                <w:rFonts w:ascii="Times New Roman" w:hAnsi="Times New Roman" w:eastAsia="宋体"/>
                <w:b w:val="0"/>
                <w:sz w:val="21"/>
              </w:rPr>
              <w:t>imaging_pathway</w:t>
            </w:r>
          </w:p>
        </w:tc>
        <w:tc>
          <w:tcPr>
            <w:tcW w:type="dxa" w:w="1187"/>
          </w:tcPr>
          <w:p>
            <w:pPr>
              <w:spacing w:line="276" w:lineRule="auto"/>
            </w:pPr>
            <w:r/>
            <w:r>
              <w:rPr>
                <w:rFonts w:ascii="Times New Roman" w:hAnsi="Times New Roman" w:eastAsia="宋体"/>
                <w:b w:val="0"/>
                <w:sz w:val="21"/>
              </w:rPr>
              <w:t>3</w:t>
            </w:r>
          </w:p>
        </w:tc>
        <w:tc>
          <w:tcPr>
            <w:tcW w:type="dxa" w:w="1187"/>
          </w:tcPr>
          <w:p>
            <w:pPr>
              <w:spacing w:line="276" w:lineRule="auto"/>
            </w:pPr>
            <w:r/>
            <w:r>
              <w:rPr>
                <w:rFonts w:ascii="Times New Roman" w:hAnsi="Times New Roman" w:eastAsia="宋体"/>
                <w:b w:val="0"/>
                <w:sz w:val="21"/>
              </w:rPr>
              <w:t>2</w:t>
            </w:r>
          </w:p>
        </w:tc>
        <w:tc>
          <w:tcPr>
            <w:tcW w:type="dxa" w:w="1187"/>
          </w:tcPr>
          <w:p>
            <w:pPr>
              <w:spacing w:line="276" w:lineRule="auto"/>
            </w:pPr>
            <w:r/>
            <w:r>
              <w:rPr>
                <w:rFonts w:ascii="Times New Roman" w:hAnsi="Times New Roman" w:eastAsia="宋体"/>
                <w:b w:val="0"/>
                <w:sz w:val="21"/>
              </w:rPr>
              <w:t>ProBIOPSY explicitly rejects PSMA PET/MRI as an upfront first-line biopsy-decision tool (Q17 median 2 — consensus disagree) and microultrasound as an upfront alternative to prostate MRI (Q20 median 2 — consensus disagree); both modalities have defined ancillary niches but must not replace quality-assured MRI at triage.</w:t>
            </w:r>
          </w:p>
        </w:tc>
      </w:tr>
      <w:tr>
        <w:tc>
          <w:tcPr>
            <w:tcW w:type="dxa" w:w="1187"/>
          </w:tcPr>
          <w:p>
            <w:pPr>
              <w:spacing w:line="276" w:lineRule="auto"/>
            </w:pPr>
            <w:r/>
            <w:r>
              <w:rPr>
                <w:rFonts w:ascii="Times New Roman" w:hAnsi="Times New Roman" w:eastAsia="宋体"/>
                <w:b w:val="0"/>
                <w:sz w:val="21"/>
              </w:rPr>
              <w:t>ai_mri_lesion_detection_aid</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low</w:t>
            </w:r>
          </w:p>
        </w:tc>
        <w:tc>
          <w:tcPr>
            <w:tcW w:type="dxa" w:w="1187"/>
          </w:tcPr>
          <w:p>
            <w:pPr>
              <w:spacing w:line="276" w:lineRule="auto"/>
            </w:pPr>
            <w:r/>
            <w:r>
              <w:rPr>
                <w:rFonts w:ascii="Times New Roman" w:hAnsi="Times New Roman" w:eastAsia="宋体"/>
                <w:b w:val="0"/>
                <w:sz w:val="21"/>
              </w:rPr>
              <w:t>ai_decision_support</w:t>
            </w:r>
          </w:p>
        </w:tc>
        <w:tc>
          <w:tcPr>
            <w:tcW w:type="dxa" w:w="1187"/>
          </w:tcPr>
          <w:p>
            <w:pPr>
              <w:spacing w:line="276" w:lineRule="auto"/>
            </w:pPr>
            <w:r/>
            <w:r>
              <w:rPr>
                <w:rFonts w:ascii="Times New Roman" w:hAnsi="Times New Roman" w:eastAsia="宋体"/>
                <w:b w:val="0"/>
                <w:sz w:val="21"/>
              </w:rPr>
              <w:t>4</w:t>
            </w:r>
          </w:p>
        </w:tc>
        <w:tc>
          <w:tcPr>
            <w:tcW w:type="dxa" w:w="1187"/>
          </w:tcPr>
          <w:p>
            <w:pPr>
              <w:spacing w:line="276" w:lineRule="auto"/>
            </w:pPr>
            <w:r/>
            <w:r>
              <w:rPr>
                <w:rFonts w:ascii="Times New Roman" w:hAnsi="Times New Roman" w:eastAsia="宋体"/>
                <w:b w:val="0"/>
                <w:sz w:val="21"/>
              </w:rPr>
              <w:t>1</w:t>
            </w:r>
          </w:p>
        </w:tc>
        <w:tc>
          <w:tcPr>
            <w:tcW w:type="dxa" w:w="1187"/>
          </w:tcPr>
          <w:p>
            <w:pPr>
              <w:spacing w:line="276" w:lineRule="auto"/>
            </w:pPr>
            <w:r/>
            <w:r>
              <w:rPr>
                <w:rFonts w:ascii="Times New Roman" w:hAnsi="Times New Roman" w:eastAsia="宋体"/>
                <w:b w:val="0"/>
                <w:sz w:val="21"/>
              </w:rPr>
              <w:t>ProBIOPSY endorses AI software as an aid to MRI lesion detection and characterization, with interpretation remaining the radiologist's responsibility (Q26 median 7 — consensus agree).</w:t>
            </w:r>
          </w:p>
        </w:tc>
      </w:tr>
      <w:tr>
        <w:tc>
          <w:tcPr>
            <w:tcW w:type="dxa" w:w="1187"/>
          </w:tcPr>
          <w:p>
            <w:pPr>
              <w:spacing w:line="276" w:lineRule="auto"/>
            </w:pPr>
            <w:r/>
            <w:r>
              <w:rPr>
                <w:rFonts w:ascii="Times New Roman" w:hAnsi="Times New Roman" w:eastAsia="宋体"/>
                <w:b w:val="0"/>
                <w:sz w:val="21"/>
              </w:rPr>
              <w:t>advanced_disease_reduced_systematic_scheme</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r>
              <w:rPr>
                <w:rFonts w:ascii="Times New Roman" w:hAnsi="Times New Roman" w:eastAsia="宋体"/>
                <w:b w:val="0"/>
                <w:sz w:val="21"/>
              </w:rPr>
              <w:t>scheme_selection</w:t>
            </w:r>
          </w:p>
        </w:tc>
        <w:tc>
          <w:tcPr>
            <w:tcW w:type="dxa" w:w="1187"/>
          </w:tcPr>
          <w:p>
            <w:pPr>
              <w:spacing w:line="276" w:lineRule="auto"/>
            </w:pPr>
            <w:r/>
            <w:r>
              <w:rPr>
                <w:rFonts w:ascii="Times New Roman" w:hAnsi="Times New Roman" w:eastAsia="宋体"/>
                <w:b w:val="0"/>
                <w:sz w:val="21"/>
              </w:rPr>
              <w:t>4</w:t>
            </w:r>
          </w:p>
        </w:tc>
        <w:tc>
          <w:tcPr>
            <w:tcW w:type="dxa" w:w="1187"/>
          </w:tcPr>
          <w:p>
            <w:pPr>
              <w:spacing w:line="276" w:lineRule="auto"/>
            </w:pPr>
            <w:r/>
            <w:r>
              <w:rPr>
                <w:rFonts w:ascii="Times New Roman" w:hAnsi="Times New Roman" w:eastAsia="宋体"/>
                <w:b w:val="0"/>
                <w:sz w:val="21"/>
              </w:rPr>
              <w:t>2</w:t>
            </w:r>
          </w:p>
        </w:tc>
        <w:tc>
          <w:tcPr>
            <w:tcW w:type="dxa" w:w="1187"/>
          </w:tcPr>
          <w:p>
            <w:pPr>
              <w:spacing w:line="276" w:lineRule="auto"/>
            </w:pPr>
            <w:r/>
            <w:r>
              <w:rPr>
                <w:rFonts w:ascii="Times New Roman" w:hAnsi="Times New Roman" w:eastAsia="宋体"/>
                <w:b w:val="0"/>
                <w:sz w:val="21"/>
              </w:rPr>
              <w:t>ProBIOPSY endorses a reduced (6-core) systematic scheme in advanced disease, where detection of any grade group confirms management rather than changing mapping precision (Q57 median 8 — consensus agree).</w:t>
            </w:r>
          </w:p>
        </w:tc>
      </w:tr>
      <w:tr>
        <w:tc>
          <w:tcPr>
            <w:tcW w:type="dxa" w:w="1187"/>
          </w:tcPr>
          <w:p>
            <w:pPr>
              <w:spacing w:line="276" w:lineRule="auto"/>
            </w:pPr>
            <w:r/>
            <w:r>
              <w:rPr>
                <w:rFonts w:ascii="Times New Roman" w:hAnsi="Times New Roman" w:eastAsia="宋体"/>
                <w:b w:val="0"/>
                <w:sz w:val="21"/>
              </w:rPr>
              <w:t>systematic_template_selection</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medium</w:t>
            </w:r>
          </w:p>
        </w:tc>
        <w:tc>
          <w:tcPr>
            <w:tcW w:type="dxa" w:w="1187"/>
          </w:tcPr>
          <w:p>
            <w:pPr>
              <w:spacing w:line="276" w:lineRule="auto"/>
            </w:pPr>
            <w:r/>
            <w:r>
              <w:rPr>
                <w:rFonts w:ascii="Times New Roman" w:hAnsi="Times New Roman" w:eastAsia="宋体"/>
                <w:b w:val="0"/>
                <w:sz w:val="21"/>
              </w:rPr>
              <w:t>scheme_selection</w:t>
            </w:r>
          </w:p>
        </w:tc>
        <w:tc>
          <w:tcPr>
            <w:tcW w:type="dxa" w:w="1187"/>
          </w:tcPr>
          <w:p>
            <w:pPr>
              <w:spacing w:line="276" w:lineRule="auto"/>
            </w:pPr>
            <w:r/>
            <w:r>
              <w:rPr>
                <w:rFonts w:ascii="Times New Roman" w:hAnsi="Times New Roman" w:eastAsia="宋体"/>
                <w:b w:val="0"/>
                <w:sz w:val="21"/>
              </w:rPr>
              <w:t>4</w:t>
            </w:r>
          </w:p>
        </w:tc>
        <w:tc>
          <w:tcPr>
            <w:tcW w:type="dxa" w:w="1187"/>
          </w:tcPr>
          <w:p>
            <w:pPr>
              <w:spacing w:line="276" w:lineRule="auto"/>
            </w:pPr>
            <w:r/>
            <w:r>
              <w:rPr>
                <w:rFonts w:ascii="Times New Roman" w:hAnsi="Times New Roman" w:eastAsia="宋体"/>
                <w:b w:val="0"/>
                <w:sz w:val="21"/>
              </w:rPr>
              <w:t>4</w:t>
            </w:r>
          </w:p>
        </w:tc>
        <w:tc>
          <w:tcPr>
            <w:tcW w:type="dxa" w:w="1187"/>
          </w:tcPr>
          <w:p>
            <w:pPr>
              <w:spacing w:line="276" w:lineRule="auto"/>
            </w:pPr>
            <w:r/>
            <w:r>
              <w:rPr>
                <w:rFonts w:ascii="Times New Roman" w:hAnsi="Times New Roman" w:eastAsia="宋体"/>
                <w:b w:val="0"/>
                <w:sz w:val="21"/>
              </w:rPr>
              <w:t>ProBIOPSY endorses the 12-core systematic template as the standard when systematic cores are indicated (Q52 median 8 — consensus agree) and rejects the classical 6-core sextant template (Q51 median 3), the Ginsburg 4-6 core template (Q53 median 3) and saturation biopsy (Q54 median 2) — all by consensus disagree.</w:t>
            </w:r>
          </w:p>
        </w:tc>
      </w:tr>
      <w:tr>
        <w:tc>
          <w:tcPr>
            <w:tcW w:type="dxa" w:w="1187"/>
          </w:tcPr>
          <w:p>
            <w:pPr>
              <w:spacing w:line="276" w:lineRule="auto"/>
            </w:pPr>
            <w:r/>
            <w:r>
              <w:rPr>
                <w:rFonts w:ascii="Times New Roman" w:hAnsi="Times New Roman" w:eastAsia="宋体"/>
                <w:b w:val="0"/>
                <w:sz w:val="21"/>
              </w:rPr>
              <w:t>targeted_core_count_adaptation</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low</w:t>
            </w:r>
          </w:p>
        </w:tc>
        <w:tc>
          <w:tcPr>
            <w:tcW w:type="dxa" w:w="1187"/>
          </w:tcPr>
          <w:p>
            <w:pPr>
              <w:spacing w:line="276" w:lineRule="auto"/>
            </w:pPr>
            <w:r/>
            <w:r>
              <w:rPr>
                <w:rFonts w:ascii="Times New Roman" w:hAnsi="Times New Roman" w:eastAsia="宋体"/>
                <w:b w:val="0"/>
                <w:sz w:val="21"/>
              </w:rPr>
              <w:t>targeted_bx</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2</w:t>
            </w:r>
          </w:p>
        </w:tc>
        <w:tc>
          <w:tcPr>
            <w:tcW w:type="dxa" w:w="1187"/>
          </w:tcPr>
          <w:p>
            <w:pPr>
              <w:spacing w:line="276" w:lineRule="auto"/>
            </w:pPr>
            <w:r/>
            <w:r>
              <w:rPr>
                <w:rFonts w:ascii="Times New Roman" w:hAnsi="Times New Roman" w:eastAsia="宋体"/>
                <w:b w:val="0"/>
                <w:sz w:val="21"/>
              </w:rPr>
              <w:t>ProBIOPSY reached no consensus on a fixed targeted-core count: adapting the number of targeted cores to PI-RADS score was rated 'neither' (Q34 median 6) and the proposed minimum of 3 cores per target failed to reach consensus in both rounds (Q35, Q36), so the system reports core count as an open option rather than enforcing a fixed number.</w:t>
            </w:r>
          </w:p>
        </w:tc>
      </w:tr>
      <w:tr>
        <w:tc>
          <w:tcPr>
            <w:tcW w:type="dxa" w:w="1187"/>
          </w:tcPr>
          <w:p>
            <w:pPr>
              <w:spacing w:line="276" w:lineRule="auto"/>
            </w:pPr>
            <w:r/>
            <w:r>
              <w:rPr>
                <w:rFonts w:ascii="Times New Roman" w:hAnsi="Times New Roman" w:eastAsia="宋体"/>
                <w:b w:val="0"/>
                <w:sz w:val="21"/>
              </w:rPr>
              <w:t>perilesional_plbx_technique</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low</w:t>
            </w:r>
          </w:p>
        </w:tc>
        <w:tc>
          <w:tcPr>
            <w:tcW w:type="dxa" w:w="1187"/>
          </w:tcPr>
          <w:p>
            <w:pPr>
              <w:spacing w:line="276" w:lineRule="auto"/>
            </w:pPr>
            <w:r/>
            <w:r>
              <w:rPr>
                <w:rFonts w:ascii="Times New Roman" w:hAnsi="Times New Roman" w:eastAsia="宋体"/>
                <w:b w:val="0"/>
                <w:sz w:val="21"/>
              </w:rPr>
              <w:t>targeted_bx</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ProBIOPSY adopts the term 'perilesional biopsy' for cores placed just outside the MRI lesion margin (Q37a — SOQ consensus), requires targeted cores to be placed within 10 mm of the lesion (Q38 — SOQ consensus) and scales the number of perilesional cores to lesion size (Q39 median 7 — consensus agree), with a maximum of 2 cores per large lesion (Q41 — SOQ consensus).</w:t>
            </w:r>
          </w:p>
        </w:tc>
      </w:tr>
      <w:tr>
        <w:tc>
          <w:tcPr>
            <w:tcW w:type="dxa" w:w="1187"/>
          </w:tcPr>
          <w:p>
            <w:pPr>
              <w:spacing w:line="276" w:lineRule="auto"/>
            </w:pPr>
            <w:r/>
            <w:r>
              <w:rPr>
                <w:rFonts w:ascii="Times New Roman" w:hAnsi="Times New Roman" w:eastAsia="宋体"/>
                <w:b w:val="0"/>
                <w:sz w:val="21"/>
              </w:rPr>
              <w:t>biopsy_scheme_by_lesion_distribution</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medium</w:t>
            </w:r>
          </w:p>
        </w:tc>
        <w:tc>
          <w:tcPr>
            <w:tcW w:type="dxa" w:w="1187"/>
          </w:tcPr>
          <w:p>
            <w:pPr>
              <w:spacing w:line="276" w:lineRule="auto"/>
            </w:pPr>
            <w:r/>
            <w:r>
              <w:rPr>
                <w:rFonts w:ascii="Times New Roman" w:hAnsi="Times New Roman" w:eastAsia="宋体"/>
                <w:b w:val="0"/>
                <w:sz w:val="21"/>
              </w:rPr>
              <w:t>scheme_selection</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For a unifocal lesion, ProBIOPSY endorses targeted + perilesional biopsy without contralateral systematic cores (Q43 median 7 — consensus agree) and bilateral targeted+perilesional schemes for multifocal bilateral disease (Q49 median 7 — consensus agree), while adding full systematic biopsy to a targeted+perilesional scheme is rejected (Q45 median 3 — consensus disagree).</w:t>
            </w:r>
          </w:p>
        </w:tc>
      </w:tr>
      <w:tr>
        <w:tc>
          <w:tcPr>
            <w:tcW w:type="dxa" w:w="1187"/>
          </w:tcPr>
          <w:p>
            <w:pPr>
              <w:spacing w:line="276" w:lineRule="auto"/>
            </w:pPr>
            <w:r/>
            <w:r>
              <w:rPr>
                <w:rFonts w:ascii="Times New Roman" w:hAnsi="Times New Roman" w:eastAsia="宋体"/>
                <w:b w:val="0"/>
                <w:sz w:val="21"/>
              </w:rPr>
              <w:t>route_anaesthesia_prophylaxis</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r>
              <w:rPr>
                <w:rFonts w:ascii="Times New Roman" w:hAnsi="Times New Roman" w:eastAsia="宋体"/>
                <w:b w:val="0"/>
                <w:sz w:val="21"/>
              </w:rPr>
              <w:t>perioperative</w:t>
            </w:r>
          </w:p>
        </w:tc>
        <w:tc>
          <w:tcPr>
            <w:tcW w:type="dxa" w:w="1187"/>
          </w:tcPr>
          <w:p>
            <w:pPr>
              <w:spacing w:line="276" w:lineRule="auto"/>
            </w:pPr>
            <w:r/>
            <w:r>
              <w:rPr>
                <w:rFonts w:ascii="Times New Roman" w:hAnsi="Times New Roman" w:eastAsia="宋体"/>
                <w:b w:val="0"/>
                <w:sz w:val="21"/>
              </w:rPr>
              <w:t>4</w:t>
            </w:r>
          </w:p>
        </w:tc>
        <w:tc>
          <w:tcPr>
            <w:tcW w:type="dxa" w:w="1187"/>
          </w:tcPr>
          <w:p>
            <w:pPr>
              <w:spacing w:line="276" w:lineRule="auto"/>
            </w:pPr>
            <w:r/>
            <w:r>
              <w:rPr>
                <w:rFonts w:ascii="Times New Roman" w:hAnsi="Times New Roman" w:eastAsia="宋体"/>
                <w:b w:val="0"/>
                <w:sz w:val="21"/>
              </w:rPr>
              <w:t>5</w:t>
            </w:r>
          </w:p>
        </w:tc>
        <w:tc>
          <w:tcPr>
            <w:tcW w:type="dxa" w:w="1187"/>
          </w:tcPr>
          <w:p>
            <w:pPr>
              <w:spacing w:line="276" w:lineRule="auto"/>
            </w:pPr>
            <w:r/>
            <w:r>
              <w:rPr>
                <w:rFonts w:ascii="Times New Roman" w:hAnsi="Times New Roman" w:eastAsia="宋体"/>
                <w:b w:val="0"/>
                <w:sz w:val="21"/>
              </w:rPr>
              <w:t>ProBIOPSY endorses the transperineal route as the standard for prostate biopsy (Q58 — SOQ consensus) with periprostatic nerve block for both transrectal (Q59) and transperineal (Q60) approaches (both SOQ consensus).</w:t>
            </w:r>
          </w:p>
        </w:tc>
      </w:tr>
      <w:tr>
        <w:tc>
          <w:tcPr>
            <w:tcW w:type="dxa" w:w="1187"/>
          </w:tcPr>
          <w:p>
            <w:pPr>
              <w:spacing w:line="276" w:lineRule="auto"/>
            </w:pPr>
            <w:r/>
            <w:r>
              <w:rPr>
                <w:rFonts w:ascii="Times New Roman" w:hAnsi="Times New Roman" w:eastAsia="宋体"/>
                <w:b w:val="0"/>
                <w:sz w:val="21"/>
              </w:rPr>
              <w:t>treatment_planning_tissue_requirements</w:t>
            </w:r>
          </w:p>
        </w:tc>
        <w:tc>
          <w:tcPr>
            <w:tcW w:type="dxa" w:w="1187"/>
          </w:tcPr>
          <w:p>
            <w:pPr>
              <w:spacing w:line="276" w:lineRule="auto"/>
            </w:pPr>
            <w:r/>
            <w:r>
              <w:rPr>
                <w:rFonts w:ascii="Times New Roman" w:hAnsi="Times New Roman" w:eastAsia="宋体"/>
                <w:b w:val="0"/>
                <w:sz w:val="21"/>
              </w:rPr>
              <w:t>consensus</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r>
              <w:rPr>
                <w:rFonts w:ascii="Times New Roman" w:hAnsi="Times New Roman" w:eastAsia="宋体"/>
                <w:b w:val="0"/>
                <w:sz w:val="21"/>
              </w:rPr>
              <w:t>treatment_planning</w:t>
            </w:r>
          </w:p>
        </w:tc>
        <w:tc>
          <w:tcPr>
            <w:tcW w:type="dxa" w:w="1187"/>
          </w:tcPr>
          <w:p>
            <w:pPr>
              <w:spacing w:line="276" w:lineRule="auto"/>
            </w:pPr>
            <w:r/>
            <w:r>
              <w:rPr>
                <w:rFonts w:ascii="Times New Roman" w:hAnsi="Times New Roman" w:eastAsia="宋体"/>
                <w:b w:val="0"/>
                <w:sz w:val="21"/>
              </w:rPr>
              <w:t>6</w:t>
            </w:r>
          </w:p>
        </w:tc>
        <w:tc>
          <w:tcPr>
            <w:tcW w:type="dxa" w:w="1187"/>
          </w:tcPr>
          <w:p>
            <w:pPr>
              <w:spacing w:line="276" w:lineRule="auto"/>
            </w:pPr>
            <w:r/>
            <w:r>
              <w:rPr>
                <w:rFonts w:ascii="Times New Roman" w:hAnsi="Times New Roman" w:eastAsia="宋体"/>
                <w:b w:val="0"/>
                <w:sz w:val="21"/>
              </w:rPr>
              <w:t>10</w:t>
            </w:r>
          </w:p>
        </w:tc>
        <w:tc>
          <w:tcPr>
            <w:tcW w:type="dxa" w:w="1187"/>
          </w:tcPr>
          <w:p>
            <w:pPr>
              <w:spacing w:line="276" w:lineRule="auto"/>
            </w:pPr>
            <w:r/>
            <w:r>
              <w:rPr>
                <w:rFonts w:ascii="Times New Roman" w:hAnsi="Times New Roman" w:eastAsia="宋体"/>
                <w:b w:val="0"/>
                <w:sz w:val="21"/>
              </w:rPr>
              <w:t>ProBIOPSY links biopsy scheme to downstream treatment intent: for focal therapy, targeted+perilesional alone is deemed insufficient and contralateral systematic biopsy must be added (Q65 median 7 — consensus agree), whereas nerve sparing, whole-gland radiotherapy, focal boost and ADT-duration planning are adequately served by targeted+perilesional schemes (Q67, Q70, Q79, Q85, Q88, Q91, Q94 median 7-8).</w:t>
            </w:r>
          </w:p>
        </w:tc>
      </w:tr>
      <w:tr>
        <w:tc>
          <w:tcPr>
            <w:tcW w:type="dxa" w:w="1187"/>
          </w:tcPr>
          <w:p>
            <w:pPr>
              <w:spacing w:line="276" w:lineRule="auto"/>
            </w:pPr>
            <w:r/>
            <w:r>
              <w:rPr>
                <w:rFonts w:ascii="Times New Roman" w:hAnsi="Times New Roman" w:eastAsia="宋体"/>
                <w:b w:val="0"/>
                <w:sz w:val="21"/>
              </w:rPr>
              <w:t>immunocompromised_or_infection_history</w:t>
            </w:r>
          </w:p>
        </w:tc>
        <w:tc>
          <w:tcPr>
            <w:tcW w:type="dxa" w:w="1187"/>
          </w:tcPr>
          <w:p>
            <w:pPr>
              <w:spacing w:line="276" w:lineRule="auto"/>
            </w:pPr>
            <w:r/>
            <w:r>
              <w:rPr>
                <w:rFonts w:ascii="Times New Roman" w:hAnsi="Times New Roman" w:eastAsia="宋体"/>
                <w:b w:val="0"/>
                <w:sz w:val="21"/>
              </w:rPr>
              <w:t>patient_factor</w:t>
            </w:r>
          </w:p>
        </w:tc>
        <w:tc>
          <w:tcPr>
            <w:tcW w:type="dxa" w:w="1187"/>
          </w:tcPr>
          <w:p>
            <w:pPr>
              <w:spacing w:line="276" w:lineRule="auto"/>
            </w:pPr>
            <w:r/>
            <w:r>
              <w:rPr>
                <w:rFonts w:ascii="Times New Roman" w:hAnsi="Times New Roman" w:eastAsia="宋体"/>
                <w:b w:val="0"/>
                <w:sz w:val="21"/>
              </w:rPr>
              <w:t>high</w:t>
            </w:r>
          </w:p>
        </w:tc>
        <w:tc>
          <w:tcPr>
            <w:tcW w:type="dxa" w:w="1187"/>
          </w:tcPr>
          <w:p>
            <w:pPr>
              <w:spacing w:line="276" w:lineRule="auto"/>
            </w:pPr>
            <w:r/>
          </w:p>
        </w:tc>
        <w:tc>
          <w:tcPr>
            <w:tcW w:type="dxa" w:w="1187"/>
          </w:tcPr>
          <w:p>
            <w:pPr>
              <w:spacing w:line="276" w:lineRule="auto"/>
            </w:pPr>
            <w:r/>
            <w:r>
              <w:rPr>
                <w:rFonts w:ascii="Times New Roman" w:hAnsi="Times New Roman" w:eastAsia="宋体"/>
                <w:b w:val="0"/>
                <w:sz w:val="21"/>
              </w:rPr>
              <w:t>1</w:t>
            </w:r>
          </w:p>
        </w:tc>
        <w:tc>
          <w:tcPr>
            <w:tcW w:type="dxa" w:w="1187"/>
          </w:tcPr>
          <w:p>
            <w:pPr>
              <w:spacing w:line="276" w:lineRule="auto"/>
            </w:pPr>
            <w:r/>
            <w:r>
              <w:rPr>
                <w:rFonts w:ascii="Times New Roman" w:hAnsi="Times New Roman" w:eastAsia="宋体"/>
                <w:b w:val="0"/>
                <w:sz w:val="21"/>
              </w:rPr>
              <w:t>2</w:t>
            </w:r>
          </w:p>
        </w:tc>
        <w:tc>
          <w:tcPr>
            <w:tcW w:type="dxa" w:w="1187"/>
          </w:tcPr>
          <w:p>
            <w:pPr>
              <w:spacing w:line="276" w:lineRule="auto"/>
            </w:pPr>
            <w:r/>
            <w:r>
              <w:rPr>
                <w:rFonts w:ascii="Times New Roman" w:hAnsi="Times New Roman" w:eastAsia="宋体"/>
                <w:b w:val="0"/>
                <w:sz w:val="21"/>
              </w:rPr>
              <w:t>Infection risk factors (Q62 catalogue: immunosuppression, prior prostatitis, recent instrumentation, MRSA colonization) escalate the perioperative rule R11 — prefer the transperineal route and augmented prophylaxis when transrectal access is unavoidable.</w:t>
            </w:r>
          </w:p>
        </w:tc>
      </w:tr>
      <w:tr>
        <w:tc>
          <w:tcPr>
            <w:tcW w:type="dxa" w:w="1187"/>
          </w:tcPr>
          <w:p>
            <w:pPr>
              <w:spacing w:line="276" w:lineRule="auto"/>
            </w:pPr>
            <w:r/>
            <w:r>
              <w:rPr>
                <w:rFonts w:ascii="Times New Roman" w:hAnsi="Times New Roman" w:eastAsia="宋体"/>
                <w:b w:val="0"/>
                <w:sz w:val="21"/>
              </w:rPr>
              <w:t>unfit_for_curative_treatment</w:t>
            </w:r>
          </w:p>
        </w:tc>
        <w:tc>
          <w:tcPr>
            <w:tcW w:type="dxa" w:w="1187"/>
          </w:tcPr>
          <w:p>
            <w:pPr>
              <w:spacing w:line="276" w:lineRule="auto"/>
            </w:pPr>
            <w:r/>
            <w:r>
              <w:rPr>
                <w:rFonts w:ascii="Times New Roman" w:hAnsi="Times New Roman" w:eastAsia="宋体"/>
                <w:b w:val="0"/>
                <w:sz w:val="21"/>
              </w:rPr>
              <w:t>patient_factor</w:t>
            </w:r>
          </w:p>
        </w:tc>
        <w:tc>
          <w:tcPr>
            <w:tcW w:type="dxa" w:w="1187"/>
          </w:tcPr>
          <w:p>
            <w:pPr>
              <w:spacing w:line="276" w:lineRule="auto"/>
            </w:pPr>
            <w:r/>
            <w:r>
              <w:rPr>
                <w:rFonts w:ascii="Times New Roman" w:hAnsi="Times New Roman" w:eastAsia="宋体"/>
                <w:b w:val="0"/>
                <w:sz w:val="21"/>
              </w:rPr>
              <w:t>medium</w:t>
            </w:r>
          </w:p>
        </w:tc>
        <w:tc>
          <w:tcPr>
            <w:tcW w:type="dxa" w:w="1187"/>
          </w:tcPr>
          <w:p>
            <w:pPr>
              <w:spacing w:line="276" w:lineRule="auto"/>
            </w:pPr>
            <w:r/>
          </w:p>
        </w:tc>
        <w:tc>
          <w:tcPr>
            <w:tcW w:type="dxa" w:w="1187"/>
          </w:tcPr>
          <w:p>
            <w:pPr>
              <w:spacing w:line="276" w:lineRule="auto"/>
            </w:pPr>
            <w:r/>
            <w:r>
              <w:rPr>
                <w:rFonts w:ascii="Times New Roman" w:hAnsi="Times New Roman" w:eastAsia="宋体"/>
                <w:b w:val="0"/>
                <w:sz w:val="21"/>
              </w:rPr>
              <w:t>2</w:t>
            </w:r>
          </w:p>
        </w:tc>
        <w:tc>
          <w:tcPr>
            <w:tcW w:type="dxa" w:w="1187"/>
          </w:tcPr>
          <w:p>
            <w:pPr>
              <w:spacing w:line="276" w:lineRule="auto"/>
            </w:pPr>
            <w:r/>
            <w:r>
              <w:rPr>
                <w:rFonts w:ascii="Times New Roman" w:hAnsi="Times New Roman" w:eastAsia="宋体"/>
                <w:b w:val="0"/>
                <w:sz w:val="21"/>
              </w:rPr>
              <w:t>1</w:t>
            </w:r>
          </w:p>
        </w:tc>
        <w:tc>
          <w:tcPr>
            <w:tcW w:type="dxa" w:w="1187"/>
          </w:tcPr>
          <w:p>
            <w:pPr>
              <w:spacing w:line="276" w:lineRule="auto"/>
            </w:pPr>
            <w:r/>
            <w:r>
              <w:rPr>
                <w:rFonts w:ascii="Times New Roman" w:hAnsi="Times New Roman" w:eastAsia="宋体"/>
                <w:b w:val="0"/>
                <w:sz w:val="21"/>
              </w:rPr>
              <w:t>Patients unfit for curative treatment shift the goal from mapping precision to confirmation — R06 reduced systematic scheme applies.</w:t>
            </w:r>
          </w:p>
        </w:tc>
      </w:tr>
      <w:tr>
        <w:tc>
          <w:tcPr>
            <w:tcW w:type="dxa" w:w="1187"/>
          </w:tcPr>
          <w:p>
            <w:pPr>
              <w:spacing w:line="276" w:lineRule="auto"/>
            </w:pPr>
            <w:r/>
            <w:r>
              <w:rPr>
                <w:rFonts w:ascii="Times New Roman" w:hAnsi="Times New Roman" w:eastAsia="宋体"/>
                <w:b w:val="0"/>
                <w:sz w:val="21"/>
              </w:rPr>
              <w:t>repeat_biopsy_setting</w:t>
            </w:r>
          </w:p>
        </w:tc>
        <w:tc>
          <w:tcPr>
            <w:tcW w:type="dxa" w:w="1187"/>
          </w:tcPr>
          <w:p>
            <w:pPr>
              <w:spacing w:line="276" w:lineRule="auto"/>
            </w:pPr>
            <w:r/>
            <w:r>
              <w:rPr>
                <w:rFonts w:ascii="Times New Roman" w:hAnsi="Times New Roman" w:eastAsia="宋体"/>
                <w:b w:val="0"/>
                <w:sz w:val="21"/>
              </w:rPr>
              <w:t>patient_factor</w:t>
            </w:r>
          </w:p>
        </w:tc>
        <w:tc>
          <w:tcPr>
            <w:tcW w:type="dxa" w:w="1187"/>
          </w:tcPr>
          <w:p>
            <w:pPr>
              <w:spacing w:line="276" w:lineRule="auto"/>
            </w:pPr>
            <w:r/>
            <w:r>
              <w:rPr>
                <w:rFonts w:ascii="Times New Roman" w:hAnsi="Times New Roman" w:eastAsia="宋体"/>
                <w:b w:val="0"/>
                <w:sz w:val="21"/>
              </w:rPr>
              <w:t>medium</w:t>
            </w:r>
          </w:p>
        </w:tc>
        <w:tc>
          <w:tcPr>
            <w:tcW w:type="dxa" w:w="1187"/>
          </w:tcPr>
          <w:p>
            <w:pPr>
              <w:spacing w:line="276" w:lineRule="auto"/>
            </w:pPr>
            <w:r/>
          </w:p>
        </w:tc>
        <w:tc>
          <w:tcPr>
            <w:tcW w:type="dxa" w:w="1187"/>
          </w:tcPr>
          <w:p>
            <w:pPr>
              <w:spacing w:line="276" w:lineRule="auto"/>
            </w:pPr>
            <w:r/>
            <w:r>
              <w:rPr>
                <w:rFonts w:ascii="Times New Roman" w:hAnsi="Times New Roman" w:eastAsia="宋体"/>
                <w:b w:val="0"/>
                <w:sz w:val="21"/>
              </w:rPr>
              <w:t>1</w:t>
            </w:r>
          </w:p>
        </w:tc>
        <w:tc>
          <w:tcPr>
            <w:tcW w:type="dxa" w:w="1187"/>
          </w:tcPr>
          <w:p>
            <w:pPr>
              <w:spacing w:line="276" w:lineRule="auto"/>
            </w:pPr>
            <w:r/>
            <w:r>
              <w:rPr>
                <w:rFonts w:ascii="Times New Roman" w:hAnsi="Times New Roman" w:eastAsia="宋体"/>
                <w:b w:val="0"/>
                <w:sz w:val="21"/>
              </w:rPr>
              <w:t>2</w:t>
            </w:r>
          </w:p>
        </w:tc>
        <w:tc>
          <w:tcPr>
            <w:tcW w:type="dxa" w:w="1187"/>
          </w:tcPr>
          <w:p>
            <w:pPr>
              <w:spacing w:line="276" w:lineRule="auto"/>
            </w:pPr>
            <w:r/>
            <w:r>
              <w:rPr>
                <w:rFonts w:ascii="Times New Roman" w:hAnsi="Times New Roman" w:eastAsia="宋体"/>
                <w:b w:val="0"/>
                <w:sz w:val="21"/>
              </w:rPr>
              <w:t>Prior negative biopsy with persisting suspicion raises sepsis risk on repeat access and keeps the 12-core template relevant (R03/R11 escalation).</w:t>
            </w:r>
          </w:p>
        </w:tc>
      </w:tr>
      <w:tr>
        <w:tc>
          <w:tcPr>
            <w:tcW w:type="dxa" w:w="1187"/>
          </w:tcPr>
          <w:p>
            <w:pPr>
              <w:spacing w:line="276" w:lineRule="auto"/>
            </w:pPr>
            <w:r/>
            <w:r>
              <w:rPr>
                <w:rFonts w:ascii="Times New Roman" w:hAnsi="Times New Roman" w:eastAsia="宋体"/>
                <w:b w:val="0"/>
                <w:sz w:val="21"/>
              </w:rPr>
              <w:t>suspicious_dre_without_mri_lesion</w:t>
            </w:r>
          </w:p>
        </w:tc>
        <w:tc>
          <w:tcPr>
            <w:tcW w:type="dxa" w:w="1187"/>
          </w:tcPr>
          <w:p>
            <w:pPr>
              <w:spacing w:line="276" w:lineRule="auto"/>
            </w:pPr>
            <w:r/>
            <w:r>
              <w:rPr>
                <w:rFonts w:ascii="Times New Roman" w:hAnsi="Times New Roman" w:eastAsia="宋体"/>
                <w:b w:val="0"/>
                <w:sz w:val="21"/>
              </w:rPr>
              <w:t>patient_factor</w:t>
            </w:r>
          </w:p>
        </w:tc>
        <w:tc>
          <w:tcPr>
            <w:tcW w:type="dxa" w:w="1187"/>
          </w:tcPr>
          <w:p>
            <w:pPr>
              <w:spacing w:line="276" w:lineRule="auto"/>
            </w:pPr>
            <w:r/>
            <w:r>
              <w:rPr>
                <w:rFonts w:ascii="Times New Roman" w:hAnsi="Times New Roman" w:eastAsia="宋体"/>
                <w:b w:val="0"/>
                <w:sz w:val="21"/>
              </w:rPr>
              <w:t>medium</w:t>
            </w:r>
          </w:p>
        </w:tc>
        <w:tc>
          <w:tcPr>
            <w:tcW w:type="dxa" w:w="1187"/>
          </w:tcPr>
          <w:p>
            <w:pPr>
              <w:spacing w:line="276" w:lineRule="auto"/>
            </w:pPr>
            <w:r/>
          </w:p>
        </w:tc>
        <w:tc>
          <w:tcPr>
            <w:tcW w:type="dxa" w:w="1187"/>
          </w:tcPr>
          <w:p>
            <w:pPr>
              <w:spacing w:line="276" w:lineRule="auto"/>
            </w:pPr>
            <w:r/>
            <w:r>
              <w:rPr>
                <w:rFonts w:ascii="Times New Roman" w:hAnsi="Times New Roman" w:eastAsia="宋体"/>
                <w:b w:val="0"/>
                <w:sz w:val="21"/>
              </w:rPr>
              <w:t>1</w:t>
            </w:r>
          </w:p>
        </w:tc>
        <w:tc>
          <w:tcPr>
            <w:tcW w:type="dxa" w:w="1187"/>
          </w:tcPr>
          <w:p>
            <w:pPr>
              <w:spacing w:line="276" w:lineRule="auto"/>
            </w:pPr>
            <w:r/>
            <w:r>
              <w:rPr>
                <w:rFonts w:ascii="Times New Roman" w:hAnsi="Times New Roman" w:eastAsia="宋体"/>
                <w:b w:val="0"/>
                <w:sz w:val="21"/>
              </w:rPr>
              <w:t>1</w:t>
            </w:r>
          </w:p>
        </w:tc>
        <w:tc>
          <w:tcPr>
            <w:tcW w:type="dxa" w:w="1187"/>
          </w:tcPr>
          <w:p>
            <w:pPr>
              <w:spacing w:line="276" w:lineRule="auto"/>
            </w:pPr>
            <w:r/>
            <w:r>
              <w:rPr>
                <w:rFonts w:ascii="Times New Roman" w:hAnsi="Times New Roman" w:eastAsia="宋体"/>
                <w:b w:val="0"/>
                <w:sz w:val="21"/>
              </w:rPr>
              <w:t>Abnormal DRE with negative MRI keeps clinical suspicion high — systematic 12-core biopsy per R03.</w:t>
            </w:r>
          </w:p>
        </w:tc>
      </w:tr>
    </w:tbl>
    <w:p/>
    <w:p>
      <w:pPr>
        <w:spacing w:line="480" w:lineRule="auto" w:before="0" w:after="0"/>
        <w:ind w:firstLine="720"/>
      </w:pPr>
      <w:r>
        <w:rPr>
          <w:rFonts w:ascii="Times New Roman" w:hAnsi="Times New Roman" w:eastAsia="宋体"/>
          <w:b/>
          <w:sz w:val="24"/>
        </w:rPr>
        <w:t>Layer 2: risk-guided LightRAG retrieval.</w:t>
      </w:r>
      <w:r>
        <w:rPr>
          <w:rFonts w:ascii="Times New Roman" w:hAnsi="Times New Roman" w:eastAsia="宋体"/>
          <w:b w:val="0"/>
          <w:sz w:val="24"/>
        </w:rPr>
        <w:t xml:space="preserve"> The corpus comprises 357 evidence chunks, all sourced from the ProBIOPSY consensus and its supplementary material: the 112 final statements (evidence level B), 20 narrative passages, 7 systematic-review summaries, and 218 literature entries extracted from the consensus reference lists (level C). The index was built with LightRAG [43] (lightrag-hku 1.5.7); entity and relation extraction used GLM-5.3-Flash, and the vector index used doubao-embedding-vision-251215 (dimension 2,048). The final index contains 1,864 entities and 3,078 relations (~100 MB). The full system performs risk-guided retrieval: rule matches and active decision items drive entity-boosted hybrid queries (vector + graph structure), executed in context-only mode (retrieving entities, relations, and chunks without letting LightRAG generate the answer itself). Graph context is concatenated with lexical evidence (BM25-style scoring with boosts for active decision items and scenario flags) and passed to the arbiter.</w:t>
      </w:r>
    </w:p>
    <w:p>
      <w:pPr>
        <w:spacing w:line="480" w:lineRule="auto" w:before="0" w:after="0"/>
        <w:ind w:firstLine="720"/>
      </w:pPr>
      <w:r>
        <w:rPr>
          <w:rFonts w:ascii="Times New Roman" w:hAnsi="Times New Roman" w:eastAsia="宋体"/>
          <w:b/>
          <w:sz w:val="24"/>
        </w:rPr>
        <w:t>Layer 3: LLM arbitration.</w:t>
      </w:r>
      <w:r>
        <w:rPr>
          <w:rFonts w:ascii="Times New Roman" w:hAnsi="Times New Roman" w:eastAsia="宋体"/>
          <w:b w:val="0"/>
          <w:sz w:val="24"/>
        </w:rPr>
        <w:t xml:space="preserve"> The arbiter receives (i) scenario flags and decision items, (ii) rule matches with hard constraints, (iii) graph context, and (iv) lexical evidence, and outputs a structured verdict: one of five actions, confidence, a rationale, and citations. The arbitration prompt enforces rule-layer hard constraints: when a hard constraint determines the outcome, the arbiter may not contradict it. Arbitration used Zhipu GLM-5.3 via an OpenAI-compatible API (https://open.bigmodel.cn/api/paas/v4, accessed September 2026). On unparseable or failed LLM output the system degrades to the rule-layer conclusion and flags the record as degraded — failures are never silent.</w:t>
      </w:r>
    </w:p>
    <w:p>
      <w:pPr>
        <w:spacing w:line="480" w:lineRule="auto" w:before="0" w:after="0"/>
        <w:ind w:firstLine="720"/>
      </w:pPr>
      <w:r>
        <w:rPr>
          <w:rFonts w:ascii="Times New Roman" w:hAnsi="Times New Roman" w:eastAsia="宋体"/>
          <w:b/>
          <w:sz w:val="24"/>
        </w:rPr>
        <w:t>Alignment with external guidelines.</w:t>
      </w:r>
      <w:r>
        <w:rPr>
          <w:rFonts w:ascii="Times New Roman" w:hAnsi="Times New Roman" w:eastAsia="宋体"/>
          <w:b w:val="0"/>
          <w:sz w:val="24"/>
        </w:rPr>
        <w:t xml:space="preserve"> The rule base was cross-checked against the EAU Prostate Cancer Guidelines [22] and the AUA/ASTRO Clinically Localized Prostate Cancer Guideline [23] and its 2026 Amendment [24]; all 16 rules are consistent with these documents at the action level (mpMRI before biopsy, image-quality gating of the biopsy decision, transperineal preference where available, risk-adapted antimicrobial prophylaxis, and ISUP grade-group–driven treatment-planning linkage). Where guideline wording diverges, the ProBIOPSY consensus governs, because the consensus serves as the evaluation gold standard; divergences are recorded in the per-rule rationale fields. External guideline text was deliberately excluded from the retrieval corpus: a single-source corpus preserves a controlled consensus-conformance evaluation (see Limitations) and avoids redistribution constraints attached to copyrighted guideline text. Guideline-level recommendations therefore enter the system through the rule layer's cross-check, not through retrieval.</w:t>
      </w:r>
    </w:p>
    <w:p>
      <w:pPr>
        <w:spacing w:line="480" w:lineRule="auto" w:before="0" w:after="0"/>
        <w:ind w:firstLine="720"/>
      </w:pPr>
      <w:r>
        <w:rPr>
          <w:rFonts w:ascii="Times New Roman" w:hAnsi="Times New Roman" w:eastAsia="宋体"/>
          <w:b/>
          <w:sz w:val="24"/>
        </w:rPr>
        <w:t>Patient-facing education mode.</w:t>
      </w:r>
      <w:r>
        <w:rPr>
          <w:rFonts w:ascii="Times New Roman" w:hAnsi="Times New Roman" w:eastAsia="宋体"/>
          <w:b w:val="0"/>
          <w:sz w:val="24"/>
        </w:rPr>
        <w:t xml:space="preserve"> The same frozen corpus and retrieval stack also support a patient-facing education mode. A complete biopsy pathway must counsel patients, not only clinicians: whether a benign report closes the matter, what HGPIN or ASAP means, and whether the procedure is tolerable are questions urologists field daily, yet clinician time for such conversations is limited and meeting patients' evolving informational needs is among the first casualties of stretched clinics [34]. The mode couples (i) retrieval, unchanged, over the frozen 357-chunk consensus corpus and knowledge graph; (ii) a curated patient-education fact base of ten entries — biopsy sampling logic, why a biopsy is advised, the meaning of a benign report, HGPIN, ASAP, pain and anaesthesia, preparation, post-biopsy warning signs, result interpretation, and shared decision-making — keyword-matched to the patient's question; and (iii) a generation prompt that instructs lay language, forbids invented statistics, requires an explicit safety-netting paragraph (when to seek urgent care), and ends by directing the patient to the treating clinician. Every fact entry carries a verifiable source: the consensus [21], the EAU and AUA/ASTRO guidelines [22,23], the TRANSLATE trial [6], the complication review [44], and peer-reviewed accounts of isolated HGPIN [45] and ASAP management [46]. The mode is exposed in the application UI alongside the clinician mode (Figure 1, education strip); it is not part of the 2,240-run benchmark and is demonstrated qualitatively in Results.</w:t>
      </w:r>
    </w:p>
    <w:p>
      <w:pPr>
        <w:spacing w:line="360" w:lineRule="auto" w:before="240" w:after="120"/>
        <w:outlineLvl w:val="2"/>
      </w:pPr>
      <w:r>
        <w:rPr>
          <w:rFonts w:ascii="Times New Roman" w:hAnsi="Times New Roman" w:eastAsia="宋体"/>
          <w:b/>
          <w:sz w:val="24"/>
        </w:rPr>
        <w:t>Baseline methods</w:t>
      </w:r>
    </w:p>
    <w:p>
      <w:pPr>
        <w:spacing w:line="480" w:lineRule="auto" w:before="0" w:after="0"/>
        <w:ind w:firstLine="720"/>
      </w:pPr>
      <w:r>
        <w:rPr>
          <w:rFonts w:ascii="Times New Roman" w:hAnsi="Times New Roman" w:eastAsia="宋体"/>
          <w:b w:val="0"/>
          <w:sz w:val="24"/>
        </w:rPr>
        <w:t xml:space="preserve">1. </w:t>
      </w:r>
      <w:r>
        <w:rPr>
          <w:rFonts w:ascii="Times New Roman" w:hAnsi="Times New Roman" w:eastAsia="宋体"/>
          <w:b/>
          <w:sz w:val="24"/>
        </w:rPr>
        <w:t>pure_llm</w:t>
      </w:r>
      <w:r>
        <w:rPr>
          <w:rFonts w:ascii="Times New Roman" w:hAnsi="Times New Roman" w:eastAsia="宋体"/>
          <w:b w:val="0"/>
          <w:sz w:val="24"/>
        </w:rPr>
        <w:t xml:space="preserve"> — question answered directly by the LLM with no retrieval and no rules;</w:t>
      </w:r>
    </w:p>
    <w:p>
      <w:pPr>
        <w:spacing w:line="480" w:lineRule="auto" w:before="0" w:after="0"/>
        <w:ind w:firstLine="720"/>
      </w:pPr>
      <w:r>
        <w:rPr>
          <w:rFonts w:ascii="Times New Roman" w:hAnsi="Times New Roman" w:eastAsia="宋体"/>
          <w:b w:val="0"/>
          <w:sz w:val="24"/>
        </w:rPr>
        <w:t xml:space="preserve">2. </w:t>
      </w:r>
      <w:r>
        <w:rPr>
          <w:rFonts w:ascii="Times New Roman" w:hAnsi="Times New Roman" w:eastAsia="宋体"/>
          <w:b/>
          <w:sz w:val="24"/>
        </w:rPr>
        <w:t>naive_rag</w:t>
      </w:r>
      <w:r>
        <w:rPr>
          <w:rFonts w:ascii="Times New Roman" w:hAnsi="Times New Roman" w:eastAsia="宋体"/>
          <w:b w:val="0"/>
          <w:sz w:val="24"/>
        </w:rPr>
        <w:t xml:space="preserve"> — BM25-style lexical retrieval of top-6 chunks (mean 3,644 characters) inserted into the prompt;</w:t>
      </w:r>
    </w:p>
    <w:p>
      <w:pPr>
        <w:spacing w:line="480" w:lineRule="auto" w:before="0" w:after="0"/>
        <w:ind w:firstLine="720"/>
      </w:pPr>
      <w:r>
        <w:rPr>
          <w:rFonts w:ascii="Times New Roman" w:hAnsi="Times New Roman" w:eastAsia="宋体"/>
          <w:b w:val="0"/>
          <w:sz w:val="24"/>
        </w:rPr>
        <w:t xml:space="preserve">3. </w:t>
      </w:r>
      <w:r>
        <w:rPr>
          <w:rFonts w:ascii="Times New Roman" w:hAnsi="Times New Roman" w:eastAsia="宋体"/>
          <w:b/>
          <w:sz w:val="24"/>
        </w:rPr>
        <w:t>lightrag-only</w:t>
      </w:r>
      <w:r>
        <w:rPr>
          <w:rFonts w:ascii="Times New Roman" w:hAnsi="Times New Roman" w:eastAsia="宋体"/>
          <w:b w:val="0"/>
          <w:sz w:val="24"/>
        </w:rPr>
        <w:t xml:space="preserve"> — end-to-end LightRAG hybrid-mode question answering (mean 2,468 characters), with no rule guidance and no hard constraints.</w:t>
      </w:r>
    </w:p>
    <w:p>
      <w:pPr>
        <w:spacing w:line="480" w:lineRule="auto" w:before="0" w:after="0"/>
        <w:ind w:firstLine="720"/>
      </w:pPr>
      <w:r>
        <w:rPr>
          <w:rFonts w:ascii="Times New Roman" w:hAnsi="Times New Roman" w:eastAsia="宋体"/>
          <w:b w:val="0"/>
          <w:sz w:val="24"/>
        </w:rPr>
        <w:t>The full system uses a mean of 7,640 characters (graph + lexical), substantially more than the RAG baselines but bounded by a hard context budget.</w:t>
      </w:r>
    </w:p>
    <w:p>
      <w:pPr>
        <w:spacing w:line="360" w:lineRule="auto" w:before="240" w:after="120"/>
        <w:outlineLvl w:val="2"/>
      </w:pPr>
      <w:r>
        <w:rPr>
          <w:rFonts w:ascii="Times New Roman" w:hAnsi="Times New Roman" w:eastAsia="宋体"/>
          <w:b/>
          <w:sz w:val="24"/>
        </w:rPr>
        <w:t>Benchmark protocol</w:t>
      </w:r>
    </w:p>
    <w:p>
      <w:pPr>
        <w:spacing w:line="480" w:lineRule="auto" w:before="0" w:after="0"/>
        <w:ind w:firstLine="720"/>
      </w:pPr>
      <w:r>
        <w:rPr>
          <w:rFonts w:ascii="Times New Roman" w:hAnsi="Times New Roman" w:eastAsia="宋体"/>
          <w:b w:val="0"/>
          <w:sz w:val="24"/>
        </w:rPr>
        <w:t xml:space="preserve">Four methods × five seeds (0–4; temperature 0.2) × 112 statements = </w:t>
      </w:r>
      <w:r>
        <w:rPr>
          <w:rFonts w:ascii="Times New Roman" w:hAnsi="Times New Roman" w:eastAsia="宋体"/>
          <w:b/>
          <w:sz w:val="24"/>
        </w:rPr>
        <w:t>2,240 runs</w:t>
      </w:r>
      <w:r>
        <w:rPr>
          <w:rFonts w:ascii="Times New Roman" w:hAnsi="Times New Roman" w:eastAsia="宋体"/>
          <w:b w:val="0"/>
          <w:sz w:val="24"/>
        </w:rPr>
        <w:t xml:space="preserve">, resumable by (method, seed, statement_id) key. </w:t>
      </w:r>
      <w:r>
        <w:rPr>
          <w:rFonts w:ascii="Times New Roman" w:hAnsi="Times New Roman" w:eastAsia="宋体"/>
          <w:b/>
          <w:sz w:val="24"/>
        </w:rPr>
        <w:t>The generator was held fixed at GLM-5.3-Flash for all methods and seeds</w:t>
      </w:r>
      <w:r>
        <w:rPr>
          <w:rFonts w:ascii="Times New Roman" w:hAnsi="Times New Roman" w:eastAsia="宋体"/>
          <w:b w:val="0"/>
          <w:sz w:val="24"/>
        </w:rPr>
        <w:t>, so that inter-method differences are attributable to retrieval and decision architecture (rules, retrieval strategy, hard constraints) rather than model capability; rate-limiting parameters were identical across methods. All 2,240 runs returned successfully with zero errors and zero degraded records. As a generator-robustness supplement, pure_llm and naive_rag were re-run in full with the flagship GLM-5.3 tier (5 seeds × 112 statements = 1,120 records).</w:t>
      </w:r>
    </w:p>
    <w:p>
      <w:pPr>
        <w:spacing w:line="360" w:lineRule="auto" w:before="240" w:after="120"/>
        <w:outlineLvl w:val="2"/>
      </w:pPr>
      <w:r>
        <w:rPr>
          <w:rFonts w:ascii="Times New Roman" w:hAnsi="Times New Roman" w:eastAsia="宋体"/>
          <w:b/>
          <w:sz w:val="24"/>
        </w:rPr>
        <w:t>Expert blinded review</w:t>
      </w:r>
    </w:p>
    <w:p>
      <w:pPr>
        <w:spacing w:line="480" w:lineRule="auto" w:before="0" w:after="0"/>
        <w:ind w:firstLine="720"/>
      </w:pPr>
      <w:r>
        <w:rPr>
          <w:rFonts w:ascii="Times New Roman" w:hAnsi="Times New Roman" w:eastAsia="宋体"/>
          <w:b w:val="0"/>
          <w:sz w:val="24"/>
        </w:rPr>
        <w:t>The five demonstration cases were rated by an independent four-expert panel (two urological surgeons, one radiologist, one radiation oncologist; none involved in development). Each case was presented as a composite proposition assembled from declarative decision items. In a blinded first pass, experts selected their own five-class action for the composite proposition; the system verdict (action, confidence, rationale, citations) was then revealed, and experts rated four Likert dimensions (clarity, usefulness, recommendation agreement, evidence sufficiency; 1–5). Pre-registered analysis rules: expert majority = modal rating; 2:2 splits recorded as no-majority and excluded from the system-versus-majority Cohen κ; all agreement statistics interpreted as preliminary given the sample size. The questionnaire and verbatim expert comments are provided in Supplementary S6.</w:t>
      </w:r>
    </w:p>
    <w:p>
      <w:pPr>
        <w:spacing w:line="360" w:lineRule="auto" w:before="240" w:after="120"/>
        <w:outlineLvl w:val="2"/>
      </w:pPr>
      <w:r>
        <w:rPr>
          <w:rFonts w:ascii="Times New Roman" w:hAnsi="Times New Roman" w:eastAsia="宋体"/>
          <w:b/>
          <w:sz w:val="24"/>
        </w:rPr>
        <w:t>Metrics</w:t>
      </w:r>
    </w:p>
    <w:p>
      <w:pPr>
        <w:spacing w:line="480" w:lineRule="auto" w:before="0" w:after="0"/>
        <w:ind w:firstLine="720"/>
      </w:pPr>
      <w:r>
        <w:rPr>
          <w:rFonts w:ascii="Times New Roman" w:hAnsi="Times New Roman" w:eastAsia="宋体"/>
          <w:b w:val="0"/>
          <w:sz w:val="24"/>
        </w:rPr>
        <w:t>Exact-5-class accuracy (primary), exact-3 accuracy (collapsing endorse_option→endorse and report_option→conditional, to expose majority-class inflation), five-class macro-F1, Cohen's κ [47] against the gold standard, and binary against-class sensitivity/specificity/F1. All metrics are reported as mean ± SD over the five seeds. Method differences were assessed with two-sided paired t-tests across seeds (full system vs each baseline; exact-5 and κ; six comparisons), with Benjamini–Hochberg false-discovery-rate correction [48]. Context characters per run were logged as an efficiency metric.</w:t>
      </w:r>
    </w:p>
    <w:p>
      <w:pPr>
        <w:spacing w:line="360" w:lineRule="auto" w:before="240" w:after="120"/>
        <w:outlineLvl w:val="2"/>
      </w:pPr>
      <w:r>
        <w:rPr>
          <w:rFonts w:ascii="Times New Roman" w:hAnsi="Times New Roman" w:eastAsia="宋体"/>
          <w:b/>
          <w:sz w:val="24"/>
        </w:rPr>
        <w:t>Implementation and reproducibility</w:t>
      </w:r>
    </w:p>
    <w:p>
      <w:pPr>
        <w:spacing w:line="480" w:lineRule="auto" w:before="0" w:after="0"/>
        <w:ind w:firstLine="720"/>
      </w:pPr>
      <w:r>
        <w:rPr>
          <w:rFonts w:ascii="Times New Roman" w:hAnsi="Times New Roman" w:eastAsia="宋体"/>
          <w:b w:val="0"/>
          <w:sz w:val="24"/>
        </w:rPr>
        <w:t>The system is implemented in Python 3.13 on lightrag-hku 1.5.7. The rule base, both registries, the evidence corpus, the gold-standard annotations, all 2,240 raw predictions (with per-run context size and retrieved-chunk counts), and the evaluation scripts are released with the code. At index build time the SHA-256 of the rule file is recorded (</w:t>
      </w:r>
      <w:r>
        <w:rPr>
          <w:rFonts w:ascii="Times New Roman" w:hAnsi="Times New Roman" w:eastAsia="宋体"/>
          <w:b w:val="0"/>
          <w:sz w:val="24"/>
        </w:rPr>
        <w:t>index_built_against_rules_sha256</w:t>
      </w:r>
      <w:r>
        <w:rPr>
          <w:rFonts w:ascii="Times New Roman" w:hAnsi="Times New Roman" w:eastAsia="宋体"/>
          <w:b w:val="0"/>
          <w:sz w:val="24"/>
        </w:rPr>
        <w:t>); the application UI verifies this digest against the live rule file to prevent silent index–rules divergence.</w:t>
      </w:r>
    </w:p>
    <w:p>
      <w:pPr>
        <w:spacing w:line="360" w:lineRule="auto" w:before="240" w:after="120"/>
        <w:outlineLvl w:val="1"/>
      </w:pPr>
      <w:r>
        <w:rPr>
          <w:rFonts w:ascii="Times New Roman" w:hAnsi="Times New Roman" w:eastAsia="宋体"/>
          <w:b/>
          <w:sz w:val="28"/>
        </w:rPr>
        <w:t>Results</w:t>
      </w:r>
    </w:p>
    <w:p>
      <w:pPr>
        <w:spacing w:line="360" w:lineRule="auto" w:before="240" w:after="120"/>
        <w:outlineLvl w:val="2"/>
      </w:pPr>
      <w:r>
        <w:rPr>
          <w:rFonts w:ascii="Times New Roman" w:hAnsi="Times New Roman" w:eastAsia="宋体"/>
          <w:b/>
          <w:sz w:val="24"/>
        </w:rPr>
        <w:t>Overview</w:t>
      </w:r>
    </w:p>
    <w:p>
      <w:pPr>
        <w:spacing w:line="480" w:lineRule="auto" w:before="0" w:after="0"/>
        <w:ind w:firstLine="720"/>
      </w:pPr>
      <w:r>
        <w:rPr>
          <w:rFonts w:ascii="Times New Roman" w:hAnsi="Times New Roman" w:eastAsia="宋体"/>
          <w:b w:val="0"/>
          <w:sz w:val="24"/>
        </w:rPr>
        <w:t>All 2,240 runs (4 methods × 5 seeds × 112 statements) completed successfully with zero errors and zero degraded outputs. Table 3 reports the performance matrix; Figure 2 shows per-seed distributions.</w:t>
      </w:r>
    </w:p>
    <w:p>
      <w:pPr>
        <w:spacing w:line="480" w:lineRule="auto" w:before="0" w:after="0"/>
        <w:ind w:firstLine="720"/>
      </w:pPr>
      <w:r>
        <w:rPr>
          <w:rFonts w:ascii="Times New Roman" w:hAnsi="Times New Roman" w:eastAsia="宋体"/>
          <w:b/>
          <w:sz w:val="24"/>
        </w:rPr>
        <w:t>Table 3.</w:t>
      </w:r>
      <w:r>
        <w:rPr>
          <w:rFonts w:ascii="Times New Roman" w:hAnsi="Times New Roman" w:eastAsia="宋体"/>
          <w:b w:val="0"/>
          <w:sz w:val="24"/>
        </w:rPr>
        <w:t xml:space="preserve"> Benchmark performance matrix: mean ± SD over five seeds (560 runs per method; 2,240 total). Context = mean retrieved characters per run.</w:t>
      </w:r>
    </w:p>
    <w:p>
      <w:pPr>
        <w:spacing w:line="480" w:lineRule="auto" w:before="0" w:after="0"/>
        <w:ind w:firstLine="720"/>
      </w:pPr>
      <w:r>
        <w:rPr>
          <w:rFonts w:ascii="Times New Roman" w:hAnsi="Times New Roman" w:eastAsia="宋体"/>
          <w:b/>
          <w:sz w:val="24"/>
        </w:rPr>
        <w:t>Table 4.</w:t>
      </w:r>
      <w:r>
        <w:rPr>
          <w:rFonts w:ascii="Times New Roman" w:hAnsi="Times New Roman" w:eastAsia="宋体"/>
          <w:b w:val="0"/>
          <w:sz w:val="24"/>
        </w:rPr>
        <w:t xml:space="preserve"> Gold-standard domain × action distribution across the 112 final statements (indication 23, procedure 34, treatment planning 55; against class 25 statements, 22.3% overall).</w:t>
      </w:r>
    </w:p>
    <w:tbl>
      <w:tblPr>
        <w:tblStyle w:val="TableGrid"/>
        <w:tblW w:type="auto" w:w="0"/>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pPr>
              <w:spacing w:line="276" w:lineRule="auto"/>
            </w:pPr>
            <w:r/>
            <w:r>
              <w:rPr>
                <w:rFonts w:ascii="Times New Roman" w:hAnsi="Times New Roman" w:eastAsia="宋体"/>
                <w:b/>
                <w:sz w:val="21"/>
              </w:rPr>
              <w:t>method</w:t>
            </w:r>
          </w:p>
        </w:tc>
        <w:tc>
          <w:tcPr>
            <w:tcW w:type="dxa" w:w="924"/>
          </w:tcPr>
          <w:p>
            <w:pPr>
              <w:spacing w:line="276" w:lineRule="auto"/>
            </w:pPr>
            <w:r/>
            <w:r>
              <w:rPr>
                <w:rFonts w:ascii="Times New Roman" w:hAnsi="Times New Roman" w:eastAsia="宋体"/>
                <w:b/>
                <w:sz w:val="21"/>
              </w:rPr>
              <w:t>exact5</w:t>
            </w:r>
          </w:p>
        </w:tc>
        <w:tc>
          <w:tcPr>
            <w:tcW w:type="dxa" w:w="924"/>
          </w:tcPr>
          <w:p>
            <w:pPr>
              <w:spacing w:line="276" w:lineRule="auto"/>
            </w:pPr>
            <w:r/>
            <w:r>
              <w:rPr>
                <w:rFonts w:ascii="Times New Roman" w:hAnsi="Times New Roman" w:eastAsia="宋体"/>
                <w:b/>
                <w:sz w:val="21"/>
              </w:rPr>
              <w:t>exact3</w:t>
            </w:r>
          </w:p>
        </w:tc>
        <w:tc>
          <w:tcPr>
            <w:tcW w:type="dxa" w:w="924"/>
          </w:tcPr>
          <w:p>
            <w:pPr>
              <w:spacing w:line="276" w:lineRule="auto"/>
            </w:pPr>
            <w:r/>
            <w:r>
              <w:rPr>
                <w:rFonts w:ascii="Times New Roman" w:hAnsi="Times New Roman" w:eastAsia="宋体"/>
                <w:b/>
                <w:sz w:val="21"/>
              </w:rPr>
              <w:t>macro_f1</w:t>
            </w:r>
          </w:p>
        </w:tc>
        <w:tc>
          <w:tcPr>
            <w:tcW w:type="dxa" w:w="924"/>
          </w:tcPr>
          <w:p>
            <w:pPr>
              <w:spacing w:line="276" w:lineRule="auto"/>
            </w:pPr>
            <w:r/>
            <w:r>
              <w:rPr>
                <w:rFonts w:ascii="Times New Roman" w:hAnsi="Times New Roman" w:eastAsia="宋体"/>
                <w:b/>
                <w:sz w:val="21"/>
              </w:rPr>
              <w:t>cohens_kappa</w:t>
            </w:r>
          </w:p>
        </w:tc>
        <w:tc>
          <w:tcPr>
            <w:tcW w:type="dxa" w:w="924"/>
          </w:tcPr>
          <w:p>
            <w:pPr>
              <w:spacing w:line="276" w:lineRule="auto"/>
            </w:pPr>
            <w:r/>
            <w:r>
              <w:rPr>
                <w:rFonts w:ascii="Times New Roman" w:hAnsi="Times New Roman" w:eastAsia="宋体"/>
                <w:b/>
                <w:sz w:val="21"/>
              </w:rPr>
              <w:t>against_sensitivity</w:t>
            </w:r>
          </w:p>
        </w:tc>
        <w:tc>
          <w:tcPr>
            <w:tcW w:type="dxa" w:w="924"/>
          </w:tcPr>
          <w:p>
            <w:pPr>
              <w:spacing w:line="276" w:lineRule="auto"/>
            </w:pPr>
            <w:r/>
            <w:r>
              <w:rPr>
                <w:rFonts w:ascii="Times New Roman" w:hAnsi="Times New Roman" w:eastAsia="宋体"/>
                <w:b/>
                <w:sz w:val="21"/>
              </w:rPr>
              <w:t>against_specificity</w:t>
            </w:r>
          </w:p>
        </w:tc>
        <w:tc>
          <w:tcPr>
            <w:tcW w:type="dxa" w:w="924"/>
          </w:tcPr>
          <w:p>
            <w:pPr>
              <w:spacing w:line="276" w:lineRule="auto"/>
            </w:pPr>
            <w:r/>
            <w:r>
              <w:rPr>
                <w:rFonts w:ascii="Times New Roman" w:hAnsi="Times New Roman" w:eastAsia="宋体"/>
                <w:b/>
                <w:sz w:val="21"/>
              </w:rPr>
              <w:t>against_f1</w:t>
            </w:r>
          </w:p>
        </w:tc>
        <w:tc>
          <w:tcPr>
            <w:tcW w:type="dxa" w:w="924"/>
          </w:tcPr>
          <w:p>
            <w:pPr>
              <w:spacing w:line="276" w:lineRule="auto"/>
            </w:pPr>
            <w:r/>
            <w:r>
              <w:rPr>
                <w:rFonts w:ascii="Times New Roman" w:hAnsi="Times New Roman" w:eastAsia="宋体"/>
                <w:b/>
                <w:sz w:val="21"/>
              </w:rPr>
              <w:t>mean_context_chars</w:t>
            </w:r>
          </w:p>
        </w:tc>
      </w:tr>
      <w:tr>
        <w:tc>
          <w:tcPr>
            <w:tcW w:type="dxa" w:w="924"/>
          </w:tcPr>
          <w:p>
            <w:pPr>
              <w:spacing w:line="276" w:lineRule="auto"/>
            </w:pPr>
            <w:r/>
            <w:r>
              <w:rPr>
                <w:rFonts w:ascii="Times New Roman" w:hAnsi="Times New Roman" w:eastAsia="宋体"/>
                <w:b w:val="0"/>
                <w:sz w:val="21"/>
              </w:rPr>
              <w:t>lightrag</w:t>
            </w:r>
          </w:p>
        </w:tc>
        <w:tc>
          <w:tcPr>
            <w:tcW w:type="dxa" w:w="924"/>
          </w:tcPr>
          <w:p>
            <w:pPr>
              <w:spacing w:line="276" w:lineRule="auto"/>
            </w:pPr>
            <w:r/>
            <w:r>
              <w:rPr>
                <w:rFonts w:ascii="Times New Roman" w:hAnsi="Times New Roman" w:eastAsia="宋体"/>
                <w:b w:val="0"/>
                <w:sz w:val="21"/>
              </w:rPr>
              <w:t>0.613±0.013</w:t>
            </w:r>
          </w:p>
        </w:tc>
        <w:tc>
          <w:tcPr>
            <w:tcW w:type="dxa" w:w="924"/>
          </w:tcPr>
          <w:p>
            <w:pPr>
              <w:spacing w:line="276" w:lineRule="auto"/>
            </w:pPr>
            <w:r/>
            <w:r>
              <w:rPr>
                <w:rFonts w:ascii="Times New Roman" w:hAnsi="Times New Roman" w:eastAsia="宋体"/>
                <w:b w:val="0"/>
                <w:sz w:val="21"/>
              </w:rPr>
              <w:t>0.920±0.013</w:t>
            </w:r>
          </w:p>
        </w:tc>
        <w:tc>
          <w:tcPr>
            <w:tcW w:type="dxa" w:w="924"/>
          </w:tcPr>
          <w:p>
            <w:pPr>
              <w:spacing w:line="276" w:lineRule="auto"/>
            </w:pPr>
            <w:r/>
            <w:r>
              <w:rPr>
                <w:rFonts w:ascii="Times New Roman" w:hAnsi="Times New Roman" w:eastAsia="宋体"/>
                <w:b w:val="0"/>
                <w:sz w:val="21"/>
              </w:rPr>
              <w:t>0.536±0.012</w:t>
            </w:r>
          </w:p>
        </w:tc>
        <w:tc>
          <w:tcPr>
            <w:tcW w:type="dxa" w:w="924"/>
          </w:tcPr>
          <w:p>
            <w:pPr>
              <w:spacing w:line="276" w:lineRule="auto"/>
            </w:pPr>
            <w:r/>
            <w:r>
              <w:rPr>
                <w:rFonts w:ascii="Times New Roman" w:hAnsi="Times New Roman" w:eastAsia="宋体"/>
                <w:b w:val="0"/>
                <w:sz w:val="21"/>
              </w:rPr>
              <w:t>0.525±0.012</w:t>
            </w:r>
          </w:p>
        </w:tc>
        <w:tc>
          <w:tcPr>
            <w:tcW w:type="dxa" w:w="924"/>
          </w:tcPr>
          <w:p>
            <w:pPr>
              <w:spacing w:line="276" w:lineRule="auto"/>
            </w:pPr>
            <w:r/>
            <w:r>
              <w:rPr>
                <w:rFonts w:ascii="Times New Roman" w:hAnsi="Times New Roman" w:eastAsia="宋体"/>
                <w:b w:val="0"/>
                <w:sz w:val="21"/>
              </w:rPr>
              <w:t>1.000±0.000</w:t>
            </w:r>
          </w:p>
        </w:tc>
        <w:tc>
          <w:tcPr>
            <w:tcW w:type="dxa" w:w="924"/>
          </w:tcPr>
          <w:p>
            <w:pPr>
              <w:spacing w:line="276" w:lineRule="auto"/>
            </w:pPr>
            <w:r/>
            <w:r>
              <w:rPr>
                <w:rFonts w:ascii="Times New Roman" w:hAnsi="Times New Roman" w:eastAsia="宋体"/>
                <w:b w:val="0"/>
                <w:sz w:val="21"/>
              </w:rPr>
              <w:t>0.922±0.017</w:t>
            </w:r>
          </w:p>
        </w:tc>
        <w:tc>
          <w:tcPr>
            <w:tcW w:type="dxa" w:w="924"/>
          </w:tcPr>
          <w:p>
            <w:pPr>
              <w:spacing w:line="276" w:lineRule="auto"/>
            </w:pPr>
            <w:r/>
            <w:r>
              <w:rPr>
                <w:rFonts w:ascii="Times New Roman" w:hAnsi="Times New Roman" w:eastAsia="宋体"/>
                <w:b w:val="0"/>
                <w:sz w:val="21"/>
              </w:rPr>
              <w:t>0.881±0.023</w:t>
            </w:r>
          </w:p>
        </w:tc>
        <w:tc>
          <w:tcPr>
            <w:tcW w:type="dxa" w:w="924"/>
          </w:tcPr>
          <w:p>
            <w:pPr>
              <w:spacing w:line="276" w:lineRule="auto"/>
            </w:pPr>
            <w:r/>
            <w:r>
              <w:rPr>
                <w:rFonts w:ascii="Times New Roman" w:hAnsi="Times New Roman" w:eastAsia="宋体"/>
                <w:b w:val="0"/>
                <w:sz w:val="21"/>
              </w:rPr>
              <w:t>2468</w:t>
            </w:r>
          </w:p>
        </w:tc>
      </w:tr>
      <w:tr>
        <w:tc>
          <w:tcPr>
            <w:tcW w:type="dxa" w:w="924"/>
          </w:tcPr>
          <w:p>
            <w:pPr>
              <w:spacing w:line="276" w:lineRule="auto"/>
            </w:pPr>
            <w:r/>
            <w:r>
              <w:rPr>
                <w:rFonts w:ascii="Times New Roman" w:hAnsi="Times New Roman" w:eastAsia="宋体"/>
                <w:b w:val="0"/>
                <w:sz w:val="21"/>
              </w:rPr>
              <w:t>naive_rag</w:t>
            </w:r>
          </w:p>
        </w:tc>
        <w:tc>
          <w:tcPr>
            <w:tcW w:type="dxa" w:w="924"/>
          </w:tcPr>
          <w:p>
            <w:pPr>
              <w:spacing w:line="276" w:lineRule="auto"/>
            </w:pPr>
            <w:r/>
            <w:r>
              <w:rPr>
                <w:rFonts w:ascii="Times New Roman" w:hAnsi="Times New Roman" w:eastAsia="宋体"/>
                <w:b w:val="0"/>
                <w:sz w:val="21"/>
              </w:rPr>
              <w:t>0.605±0.033</w:t>
            </w:r>
          </w:p>
        </w:tc>
        <w:tc>
          <w:tcPr>
            <w:tcW w:type="dxa" w:w="924"/>
          </w:tcPr>
          <w:p>
            <w:pPr>
              <w:spacing w:line="276" w:lineRule="auto"/>
            </w:pPr>
            <w:r/>
            <w:r>
              <w:rPr>
                <w:rFonts w:ascii="Times New Roman" w:hAnsi="Times New Roman" w:eastAsia="宋体"/>
                <w:b w:val="0"/>
                <w:sz w:val="21"/>
              </w:rPr>
              <w:t>0.905±0.013</w:t>
            </w:r>
          </w:p>
        </w:tc>
        <w:tc>
          <w:tcPr>
            <w:tcW w:type="dxa" w:w="924"/>
          </w:tcPr>
          <w:p>
            <w:pPr>
              <w:spacing w:line="276" w:lineRule="auto"/>
            </w:pPr>
            <w:r/>
            <w:r>
              <w:rPr>
                <w:rFonts w:ascii="Times New Roman" w:hAnsi="Times New Roman" w:eastAsia="宋体"/>
                <w:b w:val="0"/>
                <w:sz w:val="21"/>
              </w:rPr>
              <w:t>0.514±0.043</w:t>
            </w:r>
          </w:p>
        </w:tc>
        <w:tc>
          <w:tcPr>
            <w:tcW w:type="dxa" w:w="924"/>
          </w:tcPr>
          <w:p>
            <w:pPr>
              <w:spacing w:line="276" w:lineRule="auto"/>
            </w:pPr>
            <w:r/>
            <w:r>
              <w:rPr>
                <w:rFonts w:ascii="Times New Roman" w:hAnsi="Times New Roman" w:eastAsia="宋体"/>
                <w:b w:val="0"/>
                <w:sz w:val="21"/>
              </w:rPr>
              <w:t>0.512±0.041</w:t>
            </w:r>
          </w:p>
        </w:tc>
        <w:tc>
          <w:tcPr>
            <w:tcW w:type="dxa" w:w="924"/>
          </w:tcPr>
          <w:p>
            <w:pPr>
              <w:spacing w:line="276" w:lineRule="auto"/>
            </w:pPr>
            <w:r/>
            <w:r>
              <w:rPr>
                <w:rFonts w:ascii="Times New Roman" w:hAnsi="Times New Roman" w:eastAsia="宋体"/>
                <w:b w:val="0"/>
                <w:sz w:val="21"/>
              </w:rPr>
              <w:t>0.992±0.018</w:t>
            </w:r>
          </w:p>
        </w:tc>
        <w:tc>
          <w:tcPr>
            <w:tcW w:type="dxa" w:w="924"/>
          </w:tcPr>
          <w:p>
            <w:pPr>
              <w:spacing w:line="276" w:lineRule="auto"/>
            </w:pPr>
            <w:r/>
            <w:r>
              <w:rPr>
                <w:rFonts w:ascii="Times New Roman" w:hAnsi="Times New Roman" w:eastAsia="宋体"/>
                <w:b w:val="0"/>
                <w:sz w:val="21"/>
              </w:rPr>
              <w:t>0.931±0.021</w:t>
            </w:r>
          </w:p>
        </w:tc>
        <w:tc>
          <w:tcPr>
            <w:tcW w:type="dxa" w:w="924"/>
          </w:tcPr>
          <w:p>
            <w:pPr>
              <w:spacing w:line="276" w:lineRule="auto"/>
            </w:pPr>
            <w:r/>
            <w:r>
              <w:rPr>
                <w:rFonts w:ascii="Times New Roman" w:hAnsi="Times New Roman" w:eastAsia="宋体"/>
                <w:b w:val="0"/>
                <w:sz w:val="21"/>
              </w:rPr>
              <w:t>0.890±0.028</w:t>
            </w:r>
          </w:p>
        </w:tc>
        <w:tc>
          <w:tcPr>
            <w:tcW w:type="dxa" w:w="924"/>
          </w:tcPr>
          <w:p>
            <w:pPr>
              <w:spacing w:line="276" w:lineRule="auto"/>
            </w:pPr>
            <w:r/>
            <w:r>
              <w:rPr>
                <w:rFonts w:ascii="Times New Roman" w:hAnsi="Times New Roman" w:eastAsia="宋体"/>
                <w:b w:val="0"/>
                <w:sz w:val="21"/>
              </w:rPr>
              <w:t>3644</w:t>
            </w:r>
          </w:p>
        </w:tc>
      </w:tr>
      <w:tr>
        <w:tc>
          <w:tcPr>
            <w:tcW w:type="dxa" w:w="924"/>
          </w:tcPr>
          <w:p>
            <w:pPr>
              <w:spacing w:line="276" w:lineRule="auto"/>
            </w:pPr>
            <w:r/>
            <w:r>
              <w:rPr>
                <w:rFonts w:ascii="Times New Roman" w:hAnsi="Times New Roman" w:eastAsia="宋体"/>
                <w:b w:val="0"/>
                <w:sz w:val="21"/>
              </w:rPr>
              <w:t>full_system</w:t>
            </w:r>
          </w:p>
        </w:tc>
        <w:tc>
          <w:tcPr>
            <w:tcW w:type="dxa" w:w="924"/>
          </w:tcPr>
          <w:p>
            <w:pPr>
              <w:spacing w:line="276" w:lineRule="auto"/>
            </w:pPr>
            <w:r/>
            <w:r>
              <w:rPr>
                <w:rFonts w:ascii="Times New Roman" w:hAnsi="Times New Roman" w:eastAsia="宋体"/>
                <w:b w:val="0"/>
                <w:sz w:val="21"/>
              </w:rPr>
              <w:t>0.805±0.012</w:t>
            </w:r>
          </w:p>
        </w:tc>
        <w:tc>
          <w:tcPr>
            <w:tcW w:type="dxa" w:w="924"/>
          </w:tcPr>
          <w:p>
            <w:pPr>
              <w:spacing w:line="276" w:lineRule="auto"/>
            </w:pPr>
            <w:r/>
            <w:r>
              <w:rPr>
                <w:rFonts w:ascii="Times New Roman" w:hAnsi="Times New Roman" w:eastAsia="宋体"/>
                <w:b w:val="0"/>
                <w:sz w:val="21"/>
              </w:rPr>
              <w:t>0.823±0.012</w:t>
            </w:r>
          </w:p>
        </w:tc>
        <w:tc>
          <w:tcPr>
            <w:tcW w:type="dxa" w:w="924"/>
          </w:tcPr>
          <w:p>
            <w:pPr>
              <w:spacing w:line="276" w:lineRule="auto"/>
            </w:pPr>
            <w:r/>
            <w:r>
              <w:rPr>
                <w:rFonts w:ascii="Times New Roman" w:hAnsi="Times New Roman" w:eastAsia="宋体"/>
                <w:b w:val="0"/>
                <w:sz w:val="21"/>
              </w:rPr>
              <w:t>0.825±0.022</w:t>
            </w:r>
          </w:p>
        </w:tc>
        <w:tc>
          <w:tcPr>
            <w:tcW w:type="dxa" w:w="924"/>
          </w:tcPr>
          <w:p>
            <w:pPr>
              <w:spacing w:line="276" w:lineRule="auto"/>
            </w:pPr>
            <w:r/>
            <w:r>
              <w:rPr>
                <w:rFonts w:ascii="Times New Roman" w:hAnsi="Times New Roman" w:eastAsia="宋体"/>
                <w:b w:val="0"/>
                <w:sz w:val="21"/>
              </w:rPr>
              <w:t>0.730±0.016</w:t>
            </w:r>
          </w:p>
        </w:tc>
        <w:tc>
          <w:tcPr>
            <w:tcW w:type="dxa" w:w="924"/>
          </w:tcPr>
          <w:p>
            <w:pPr>
              <w:spacing w:line="276" w:lineRule="auto"/>
            </w:pPr>
            <w:r/>
            <w:r>
              <w:rPr>
                <w:rFonts w:ascii="Times New Roman" w:hAnsi="Times New Roman" w:eastAsia="宋体"/>
                <w:b w:val="0"/>
                <w:sz w:val="21"/>
              </w:rPr>
              <w:t>0.872±0.018</w:t>
            </w:r>
          </w:p>
        </w:tc>
        <w:tc>
          <w:tcPr>
            <w:tcW w:type="dxa" w:w="924"/>
          </w:tcPr>
          <w:p>
            <w:pPr>
              <w:spacing w:line="276" w:lineRule="auto"/>
            </w:pPr>
            <w:r/>
            <w:r>
              <w:rPr>
                <w:rFonts w:ascii="Times New Roman" w:hAnsi="Times New Roman" w:eastAsia="宋体"/>
                <w:b w:val="0"/>
                <w:sz w:val="21"/>
              </w:rPr>
              <w:t>0.986±0.010</w:t>
            </w:r>
          </w:p>
        </w:tc>
        <w:tc>
          <w:tcPr>
            <w:tcW w:type="dxa" w:w="924"/>
          </w:tcPr>
          <w:p>
            <w:pPr>
              <w:spacing w:line="276" w:lineRule="auto"/>
            </w:pPr>
            <w:r/>
            <w:r>
              <w:rPr>
                <w:rFonts w:ascii="Times New Roman" w:hAnsi="Times New Roman" w:eastAsia="宋体"/>
                <w:b w:val="0"/>
                <w:sz w:val="21"/>
              </w:rPr>
              <w:t>0.908±0.023</w:t>
            </w:r>
          </w:p>
        </w:tc>
        <w:tc>
          <w:tcPr>
            <w:tcW w:type="dxa" w:w="924"/>
          </w:tcPr>
          <w:p>
            <w:pPr>
              <w:spacing w:line="276" w:lineRule="auto"/>
            </w:pPr>
            <w:r/>
            <w:r>
              <w:rPr>
                <w:rFonts w:ascii="Times New Roman" w:hAnsi="Times New Roman" w:eastAsia="宋体"/>
                <w:b w:val="0"/>
                <w:sz w:val="21"/>
              </w:rPr>
              <w:t>7640</w:t>
            </w:r>
          </w:p>
        </w:tc>
      </w:tr>
      <w:tr>
        <w:tc>
          <w:tcPr>
            <w:tcW w:type="dxa" w:w="924"/>
          </w:tcPr>
          <w:p>
            <w:pPr>
              <w:spacing w:line="276" w:lineRule="auto"/>
            </w:pPr>
            <w:r/>
            <w:r>
              <w:rPr>
                <w:rFonts w:ascii="Times New Roman" w:hAnsi="Times New Roman" w:eastAsia="宋体"/>
                <w:b w:val="0"/>
                <w:sz w:val="21"/>
              </w:rPr>
              <w:t>pure_llm</w:t>
            </w:r>
          </w:p>
        </w:tc>
        <w:tc>
          <w:tcPr>
            <w:tcW w:type="dxa" w:w="924"/>
          </w:tcPr>
          <w:p>
            <w:pPr>
              <w:spacing w:line="276" w:lineRule="auto"/>
            </w:pPr>
            <w:r/>
            <w:r>
              <w:rPr>
                <w:rFonts w:ascii="Times New Roman" w:hAnsi="Times New Roman" w:eastAsia="宋体"/>
                <w:b w:val="0"/>
                <w:sz w:val="21"/>
              </w:rPr>
              <w:t>0.304±0.039</w:t>
            </w:r>
          </w:p>
        </w:tc>
        <w:tc>
          <w:tcPr>
            <w:tcW w:type="dxa" w:w="924"/>
          </w:tcPr>
          <w:p>
            <w:pPr>
              <w:spacing w:line="276" w:lineRule="auto"/>
            </w:pPr>
            <w:r/>
            <w:r>
              <w:rPr>
                <w:rFonts w:ascii="Times New Roman" w:hAnsi="Times New Roman" w:eastAsia="宋体"/>
                <w:b w:val="0"/>
                <w:sz w:val="21"/>
              </w:rPr>
              <w:t>0.370±0.029</w:t>
            </w:r>
          </w:p>
        </w:tc>
        <w:tc>
          <w:tcPr>
            <w:tcW w:type="dxa" w:w="924"/>
          </w:tcPr>
          <w:p>
            <w:pPr>
              <w:spacing w:line="276" w:lineRule="auto"/>
            </w:pPr>
            <w:r/>
            <w:r>
              <w:rPr>
                <w:rFonts w:ascii="Times New Roman" w:hAnsi="Times New Roman" w:eastAsia="宋体"/>
                <w:b w:val="0"/>
                <w:sz w:val="21"/>
              </w:rPr>
              <w:t>0.254±0.029</w:t>
            </w:r>
          </w:p>
        </w:tc>
        <w:tc>
          <w:tcPr>
            <w:tcW w:type="dxa" w:w="924"/>
          </w:tcPr>
          <w:p>
            <w:pPr>
              <w:spacing w:line="276" w:lineRule="auto"/>
            </w:pPr>
            <w:r/>
            <w:r>
              <w:rPr>
                <w:rFonts w:ascii="Times New Roman" w:hAnsi="Times New Roman" w:eastAsia="宋体"/>
                <w:b w:val="0"/>
                <w:sz w:val="21"/>
              </w:rPr>
              <w:t>0.079±0.053</w:t>
            </w:r>
          </w:p>
        </w:tc>
        <w:tc>
          <w:tcPr>
            <w:tcW w:type="dxa" w:w="924"/>
          </w:tcPr>
          <w:p>
            <w:pPr>
              <w:spacing w:line="276" w:lineRule="auto"/>
            </w:pPr>
            <w:r/>
            <w:r>
              <w:rPr>
                <w:rFonts w:ascii="Times New Roman" w:hAnsi="Times New Roman" w:eastAsia="宋体"/>
                <w:b w:val="0"/>
                <w:sz w:val="21"/>
              </w:rPr>
              <w:t>0.416±0.083</w:t>
            </w:r>
          </w:p>
        </w:tc>
        <w:tc>
          <w:tcPr>
            <w:tcW w:type="dxa" w:w="924"/>
          </w:tcPr>
          <w:p>
            <w:pPr>
              <w:spacing w:line="276" w:lineRule="auto"/>
            </w:pPr>
            <w:r/>
            <w:r>
              <w:rPr>
                <w:rFonts w:ascii="Times New Roman" w:hAnsi="Times New Roman" w:eastAsia="宋体"/>
                <w:b w:val="0"/>
                <w:sz w:val="21"/>
              </w:rPr>
              <w:t>0.720±0.021</w:t>
            </w:r>
          </w:p>
        </w:tc>
        <w:tc>
          <w:tcPr>
            <w:tcW w:type="dxa" w:w="924"/>
          </w:tcPr>
          <w:p>
            <w:pPr>
              <w:spacing w:line="276" w:lineRule="auto"/>
            </w:pPr>
            <w:r/>
            <w:r>
              <w:rPr>
                <w:rFonts w:ascii="Times New Roman" w:hAnsi="Times New Roman" w:eastAsia="宋体"/>
                <w:b w:val="0"/>
                <w:sz w:val="21"/>
              </w:rPr>
              <w:t>0.346±0.053</w:t>
            </w:r>
          </w:p>
        </w:tc>
        <w:tc>
          <w:tcPr>
            <w:tcW w:type="dxa" w:w="924"/>
          </w:tcPr>
          <w:p>
            <w:pPr>
              <w:spacing w:line="276" w:lineRule="auto"/>
            </w:pPr>
            <w:r/>
            <w:r>
              <w:rPr>
                <w:rFonts w:ascii="Times New Roman" w:hAnsi="Times New Roman" w:eastAsia="宋体"/>
                <w:b w:val="0"/>
                <w:sz w:val="21"/>
              </w:rPr>
              <w:t>0</w:t>
            </w:r>
          </w:p>
        </w:tc>
      </w:tr>
    </w:tbl>
    <w:p/>
    <w:p>
      <w:pPr>
        <w:spacing w:line="360" w:lineRule="auto" w:before="240" w:after="120"/>
        <w:outlineLvl w:val="2"/>
      </w:pPr>
      <w:r>
        <w:rPr>
          <w:rFonts w:ascii="Times New Roman" w:hAnsi="Times New Roman" w:eastAsia="宋体"/>
          <w:b/>
          <w:sz w:val="24"/>
        </w:rPr>
        <w:t>Headline performance (Table 3, Figure 2)</w:t>
      </w:r>
    </w:p>
    <w:p>
      <w:pPr>
        <w:spacing w:line="480" w:lineRule="auto" w:before="0" w:after="0"/>
        <w:ind w:firstLine="720"/>
      </w:pPr>
      <w:r>
        <w:rPr>
          <w:rFonts w:ascii="Times New Roman" w:hAnsi="Times New Roman" w:eastAsia="宋体"/>
          <w:b w:val="0"/>
          <w:sz w:val="24"/>
        </w:rPr>
        <w:t xml:space="preserve">The full system outperformed all three baselines on every fine-grained metric (Table 3): exact-5 0.805 ± 0.012 versus 0.613 (LightRAG-only), 0.605 (naive RAG), and 0.304 (pure LLM); κ 0.730 ± 0.016 versus 0.525, 0.512, and 0.079; macro-F1 0.825 ± 0.022 versus 0.536, 0.514, and 0.254. Relative to the strongest baseline this is </w:t>
      </w:r>
      <w:r>
        <w:rPr>
          <w:rFonts w:ascii="Times New Roman" w:hAnsi="Times New Roman" w:eastAsia="宋体"/>
          <w:b/>
          <w:sz w:val="24"/>
        </w:rPr>
        <w:t>+19.2 percentage points exact-5 and +0.205 κ</w:t>
      </w:r>
      <w:r>
        <w:rPr>
          <w:rFonts w:ascii="Times New Roman" w:hAnsi="Times New Roman" w:eastAsia="宋体"/>
          <w:b w:val="0"/>
          <w:sz w:val="24"/>
        </w:rPr>
        <w:t>. All six paired seed-level comparisons (full system vs each baseline; exact-5 and κ) remain significant after Benjamini–Hochberg FDR correction (paired t(4) = 8.9–25.3, all adjusted p ≤ 8.9 × 10⁻⁴). Seed-to-seed variation was small (exact-5 SD 0.012), indicating the advantage is not a stochastic artifact.</w:t>
      </w:r>
    </w:p>
    <w:p>
      <w:pPr>
        <w:spacing w:line="360" w:lineRule="auto" w:before="240" w:after="120"/>
        <w:outlineLvl w:val="2"/>
      </w:pPr>
      <w:r>
        <w:rPr>
          <w:rFonts w:ascii="Times New Roman" w:hAnsi="Times New Roman" w:eastAsia="宋体"/>
          <w:b/>
          <w:sz w:val="24"/>
        </w:rPr>
        <w:t>Baselines collapse onto frequent classes (Figure 2C)</w:t>
      </w:r>
    </w:p>
    <w:p>
      <w:pPr>
        <w:spacing w:line="480" w:lineRule="auto" w:before="0" w:after="0"/>
        <w:ind w:firstLine="720"/>
      </w:pPr>
      <w:r>
        <w:rPr>
          <w:rFonts w:ascii="Times New Roman" w:hAnsi="Times New Roman" w:eastAsia="宋体"/>
          <w:b w:val="0"/>
          <w:sz w:val="24"/>
        </w:rPr>
        <w:t xml:space="preserve">The macro-F1 pattern exposes a failure mode invisible to exact-3: both RAG baselines reach high exact-3 accuracy (0.920 / 0.905 — nominally above the full system's 0.823) while their exact-5 (~0.61) and macro-F1 (~0.52) reveal class collapse. Their predicted distributions over 560 runs each concentrate on three frequent classes — LightRAG-only: endorse 162, report_option 168, against 159, endorse_option 68, </w:t>
      </w:r>
      <w:r>
        <w:rPr>
          <w:rFonts w:ascii="Times New Roman" w:hAnsi="Times New Roman" w:eastAsia="宋体"/>
          <w:b/>
          <w:sz w:val="24"/>
        </w:rPr>
        <w:t>conditional 3</w:t>
      </w:r>
      <w:r>
        <w:rPr>
          <w:rFonts w:ascii="Times New Roman" w:hAnsi="Times New Roman" w:eastAsia="宋体"/>
          <w:b w:val="0"/>
          <w:sz w:val="24"/>
        </w:rPr>
        <w:t xml:space="preserve">; naive RAG: endorse 175, report_option 165, against 154, endorse_option 60, </w:t>
      </w:r>
      <w:r>
        <w:rPr>
          <w:rFonts w:ascii="Times New Roman" w:hAnsi="Times New Roman" w:eastAsia="宋体"/>
          <w:b/>
          <w:sz w:val="24"/>
        </w:rPr>
        <w:t>conditional 6</w:t>
      </w:r>
      <w:r>
        <w:rPr>
          <w:rFonts w:ascii="Times New Roman" w:hAnsi="Times New Roman" w:eastAsia="宋体"/>
          <w:b w:val="0"/>
          <w:sz w:val="24"/>
        </w:rPr>
        <w:t xml:space="preserve"> (Figure 2C). Pure LLM emits conditional and endorse_option more often (14 and 90 of 560 runs) but places them almost never correctly (κ 0.079). The full system uses all five classes substantively: endorse 280, conditional 95, against 115, report_option 32, endorse_option 38. In other words, retrieval-augmented baselines almost never express </w:t>
      </w:r>
      <w:r>
        <w:rPr>
          <w:rFonts w:ascii="Times New Roman" w:hAnsi="Times New Roman" w:eastAsia="宋体"/>
          <w:b w:val="0"/>
          <w:i/>
          <w:sz w:val="24"/>
        </w:rPr>
        <w:t>conditional endorsement</w:t>
      </w:r>
      <w:r>
        <w:rPr>
          <w:rFonts w:ascii="Times New Roman" w:hAnsi="Times New Roman" w:eastAsia="宋体"/>
          <w:b w:val="0"/>
          <w:sz w:val="24"/>
        </w:rPr>
        <w:t xml:space="preserve"> and </w:t>
      </w:r>
      <w:r>
        <w:rPr>
          <w:rFonts w:ascii="Times New Roman" w:hAnsi="Times New Roman" w:eastAsia="宋体"/>
          <w:b w:val="0"/>
          <w:i/>
          <w:sz w:val="24"/>
        </w:rPr>
        <w:t>equivalent-option endorsement</w:t>
      </w:r>
      <w:r>
        <w:rPr>
          <w:rFonts w:ascii="Times New Roman" w:hAnsi="Times New Roman" w:eastAsia="宋体"/>
          <w:b w:val="0"/>
          <w:sz w:val="24"/>
        </w:rPr>
        <w:t xml:space="preserve"> — the two actions most critical for nuanced clinical communication — emitting them in 0.5–1.1% of runs versus 17.0% and 6.8% for the full system, and no baseline places them in the right places (κ 0.730 versus ~0.52).</w:t>
      </w:r>
    </w:p>
    <w:p>
      <w:pPr>
        <w:spacing w:line="360" w:lineRule="auto" w:before="240" w:after="120"/>
        <w:outlineLvl w:val="2"/>
      </w:pPr>
      <w:r>
        <w:rPr>
          <w:rFonts w:ascii="Times New Roman" w:hAnsi="Times New Roman" w:eastAsia="宋体"/>
          <w:b/>
          <w:sz w:val="24"/>
        </w:rPr>
        <w:t>Against-class behaviour: safe vetoing</w:t>
      </w:r>
    </w:p>
    <w:p>
      <w:pPr>
        <w:spacing w:line="480" w:lineRule="auto" w:before="0" w:after="0"/>
        <w:ind w:firstLine="720"/>
      </w:pPr>
      <w:r>
        <w:rPr>
          <w:rFonts w:ascii="Times New Roman" w:hAnsi="Times New Roman" w:eastAsia="宋体"/>
          <w:b w:val="0"/>
          <w:sz w:val="24"/>
        </w:rPr>
        <w:t>Against is the safety-critical class (22.3% of the gold standard). The full system achieved against-F1 0.908 ± 0.023 (sensitivity 0.872 ± 0.018, specificity 0.986 ± 0.010). LightRAG-only reached F1 0.881 with sensitivity 1.000 but specificity only 0.922 — over-calling against — and naive RAG behaved identically (F1 0.890; sens 0.992 / spec 0.931). Pure LLM achieved F1 0.346 (sens 0.416 / spec 0.720). The full system trades a modest sensitivity reduction for near-zero false vetoes, a behavioural difference attributable to hard-constrained arbitration: against is emitted only when rules or evidence explicitly support it.</w:t>
      </w:r>
    </w:p>
    <w:p>
      <w:pPr>
        <w:spacing w:line="360" w:lineRule="auto" w:before="240" w:after="120"/>
        <w:outlineLvl w:val="2"/>
      </w:pPr>
      <w:r>
        <w:rPr>
          <w:rFonts w:ascii="Times New Roman" w:hAnsi="Times New Roman" w:eastAsia="宋体"/>
          <w:b/>
          <w:sz w:val="24"/>
        </w:rPr>
        <w:t>Residual errors: conditional endorsement is the hardest class</w:t>
      </w:r>
    </w:p>
    <w:p>
      <w:pPr>
        <w:spacing w:line="480" w:lineRule="auto" w:before="0" w:after="0"/>
        <w:ind w:firstLine="720"/>
      </w:pPr>
      <w:r>
        <w:rPr>
          <w:rFonts w:ascii="Times New Roman" w:hAnsi="Times New Roman" w:eastAsia="宋体"/>
          <w:b w:val="0"/>
          <w:sz w:val="24"/>
        </w:rPr>
        <w:t>The full system's aggregated confusion matrix (Supplementary Table S1) shows near-perfect endorsement behaviour (gold endorse: 190/190 correct) but conditional recall of 95/185 (0.51): of the 185 gold-conditional statements, 74 were predicted endorse, 10 report_option, and 6 against. Errors on conditional therefore skew over-permissive — the direction clinical governance is most concerned about — motivating class-specific calibration as future work. Per-domain confusion matrices (Supplementary Table S1) show this pattern is most pronounced in treatment planning, the against-densest domain.</w:t>
      </w:r>
    </w:p>
    <w:p>
      <w:pPr>
        <w:spacing w:line="360" w:lineRule="auto" w:before="240" w:after="120"/>
        <w:outlineLvl w:val="2"/>
      </w:pPr>
      <w:r>
        <w:rPr>
          <w:rFonts w:ascii="Times New Roman" w:hAnsi="Times New Roman" w:eastAsia="宋体"/>
          <w:b/>
          <w:sz w:val="24"/>
        </w:rPr>
        <w:t>Generator tier does not rescue baseline architectures (supplementary experiment)</w:t>
      </w:r>
    </w:p>
    <w:p>
      <w:pPr>
        <w:spacing w:line="480" w:lineRule="auto" w:before="0" w:after="0"/>
        <w:ind w:firstLine="720"/>
      </w:pPr>
      <w:r>
        <w:rPr>
          <w:rFonts w:ascii="Times New Roman" w:hAnsi="Times New Roman" w:eastAsia="宋体"/>
          <w:b w:val="0"/>
          <w:sz w:val="24"/>
        </w:rPr>
        <w:t xml:space="preserve">Re-running pure_llm and naive_rag with the flagship GLM-5.3 tier (1,120 runs) changed the conclusion qualitatively not at all and quantitatively for the worse: naive_rag exact-5 fell from 0.605 to 0.538 ± 0.012 (κ 0.512 → 0.450) and pure_llm remained at 0.288 ± 0.013 (κ 0.132). A stronger generator cannot compensate for a missing rule layer and hard constraints; flagship-tier models collapse onto majority classes just as flash-tier models do. This isolates </w:t>
      </w:r>
      <w:r>
        <w:rPr>
          <w:rFonts w:ascii="Times New Roman" w:hAnsi="Times New Roman" w:eastAsia="宋体"/>
          <w:b w:val="0"/>
          <w:i/>
          <w:sz w:val="24"/>
        </w:rPr>
        <w:t>architecture</w:t>
      </w:r>
      <w:r>
        <w:rPr>
          <w:rFonts w:ascii="Times New Roman" w:hAnsi="Times New Roman" w:eastAsia="宋体"/>
          <w:b w:val="0"/>
          <w:sz w:val="24"/>
        </w:rPr>
        <w:t xml:space="preserve"> — not model selection — as the differentiator.</w:t>
      </w:r>
    </w:p>
    <w:p>
      <w:pPr>
        <w:spacing w:line="360" w:lineRule="auto" w:before="240" w:after="120"/>
        <w:outlineLvl w:val="2"/>
      </w:pPr>
      <w:r>
        <w:rPr>
          <w:rFonts w:ascii="Times New Roman" w:hAnsi="Times New Roman" w:eastAsia="宋体"/>
          <w:b/>
          <w:sz w:val="24"/>
        </w:rPr>
        <w:t>Domain breakdown (Table 4)</w:t>
      </w:r>
    </w:p>
    <w:p>
      <w:pPr>
        <w:spacing w:line="480" w:lineRule="auto" w:before="0" w:after="0"/>
        <w:ind w:firstLine="720"/>
      </w:pPr>
      <w:r>
        <w:rPr>
          <w:rFonts w:ascii="Times New Roman" w:hAnsi="Times New Roman" w:eastAsia="宋体"/>
          <w:b w:val="0"/>
          <w:sz w:val="24"/>
        </w:rPr>
        <w:t>Against-class density varies sharply by domain (indication 8.7%, procedure 14.7%, treatment planning 32.7%). The full system retains its overall advantage in the against-densest domain; per-domain confusion matrices are provided in Supplementary Table S1.</w:t>
      </w:r>
    </w:p>
    <w:p>
      <w:pPr>
        <w:spacing w:line="360" w:lineRule="auto" w:before="240" w:after="120"/>
        <w:outlineLvl w:val="2"/>
      </w:pPr>
      <w:r>
        <w:rPr>
          <w:rFonts w:ascii="Times New Roman" w:hAnsi="Times New Roman" w:eastAsia="宋体"/>
          <w:b/>
          <w:sz w:val="24"/>
        </w:rPr>
        <w:t>Demonstration cases (Figures 4, 5)</w:t>
      </w:r>
    </w:p>
    <w:p>
      <w:pPr>
        <w:spacing w:line="480" w:lineRule="auto" w:before="0" w:after="0"/>
        <w:ind w:firstLine="720"/>
      </w:pPr>
      <w:r>
        <w:rPr>
          <w:rFonts w:ascii="Times New Roman" w:hAnsi="Times New Roman" w:eastAsia="宋体"/>
          <w:b w:val="0"/>
          <w:sz w:val="24"/>
        </w:rPr>
        <w:t>Five synthetic demonstration vignettes (unifocal-lesion biopsy scheme, upfront biopsy after PSMA PET, indeterminate bpMRI lesions, advanced-disease route and prophylaxis, infection-risk escalation) ran end-to-end, each producing the correct five-class action, the expected consensus rules (including patient-factor escalations), and a citation chain traceable to Q-codes and evidence chunks (case reports in Supplementary S3).</w:t>
      </w:r>
    </w:p>
    <w:p>
      <w:pPr>
        <w:spacing w:line="360" w:lineRule="auto" w:before="240" w:after="120"/>
        <w:outlineLvl w:val="2"/>
      </w:pPr>
      <w:r>
        <w:rPr>
          <w:rFonts w:ascii="Times New Roman" w:hAnsi="Times New Roman" w:eastAsia="宋体"/>
          <w:b/>
          <w:sz w:val="24"/>
        </w:rPr>
        <w:t>Patient-facing education (qualitative demonstration)</w:t>
      </w:r>
    </w:p>
    <w:p>
      <w:pPr>
        <w:spacing w:line="480" w:lineRule="auto" w:before="0" w:after="0"/>
        <w:ind w:firstLine="720"/>
      </w:pPr>
      <w:r>
        <w:rPr>
          <w:rFonts w:ascii="Times New Roman" w:hAnsi="Times New Roman" w:eastAsia="宋体"/>
          <w:b w:val="0"/>
          <w:sz w:val="24"/>
        </w:rPr>
        <w:t>Three consultations of the kind urologists field daily were submitted to the education mode in Chinese (verbatim transcripts with matched fact entries and retrieval provenance in Supplementary S7). Asked "My biopsy report is benign — do I never need to worry again, and can I stop checking PSA?", the agent answered in plain language that a biopsy samples only the cores taken, that small or hidden tumours can be missed, and that PSA testing and physical examination should therefore continue on the urologist's schedule, closing with a safety-netting paragraph (rising PSA or new symptoms: contact the urologist without waiting). Asked what ASAP means, it explained the finding as suspicious but not yet confirmed, distinguished it from isolated HGPIN, stated that a clinically meaningful fraction of re-biopsies after ASAP detect clinically significant cancer, and advised against delaying the recommended repeat biopsy [46]. Asked whether fear of pain justifies declining a biopsy, it described periprostatic nerve block and fully local-anaesthetic transperineal biopsy [6,21], noted that avoiding a medically indicated biopsy can delay a curable diagnosis, and offered sedation planning as an option. All three outputs cited their fact entries and evidence chunks, and ended by referring the patient to the treating clinician; none issued an action verdict or invented numbers. These are demonstrations, not benchmarked results — no lay-person readability or comprehension study has been performed (see Limitations).</w:t>
      </w:r>
    </w:p>
    <w:p>
      <w:pPr>
        <w:spacing w:line="360" w:lineRule="auto" w:before="240" w:after="120"/>
        <w:outlineLvl w:val="2"/>
      </w:pPr>
      <w:r>
        <w:rPr>
          <w:rFonts w:ascii="Times New Roman" w:hAnsi="Times New Roman" w:eastAsia="宋体"/>
          <w:b/>
          <w:sz w:val="24"/>
        </w:rPr>
        <w:t>Face validity: four-expert blinded review (Figure 3)</w:t>
      </w:r>
    </w:p>
    <w:p>
      <w:pPr>
        <w:spacing w:line="480" w:lineRule="auto" w:before="0" w:after="0"/>
        <w:ind w:firstLine="720"/>
      </w:pPr>
      <w:r>
        <w:rPr>
          <w:rFonts w:ascii="Times New Roman" w:hAnsi="Times New Roman" w:eastAsia="宋体"/>
          <w:b w:val="0"/>
          <w:sz w:val="24"/>
        </w:rPr>
        <w:t>Experts agreed with each other substantially: raw agreement 17/20 ratings, with per-case modal share 4/4 in three cases, 3/4 in one (case 2), and a 2:2 split in case 1 (Figure 3A). The overall Fleiss κ [49] of −0.09 reflects the known instability of κ under uneven category marginals at this sample size — the agreement paradox described by Feinstein and Cicchetti — rather than poor agreement [50]. The system matched the expert majority in all four cases with a decisive majority (Cohen κ = 1.000, n = 4; Figure 3B). In the split case — whether to add systematic biopsy to targeted plus perilesional biopsy — the two experts favouring conditional endorsement cited treatment-plan dependence (whole-gland versus focal therapy alters the value of added systematic cores), the same consideration the system's evidence chain raises (contralateral systematic yield 0.3–4% [EV0024]). All 80 Likert ratings of the system output were 5/5 (clarity, usefulness, recommendation, evidence; ceiling noted, Figure 3C). At this sample size, all agreement estimates are preliminary.</w:t>
      </w:r>
    </w:p>
    <w:p>
      <w:pPr>
        <w:spacing w:line="360" w:lineRule="auto" w:before="240" w:after="120"/>
        <w:outlineLvl w:val="2"/>
      </w:pPr>
      <w:r>
        <w:rPr>
          <w:rFonts w:ascii="Times New Roman" w:hAnsi="Times New Roman" w:eastAsia="宋体"/>
          <w:b/>
          <w:sz w:val="24"/>
        </w:rPr>
        <w:t>Runtime cost</w:t>
      </w:r>
    </w:p>
    <w:p>
      <w:pPr>
        <w:spacing w:line="480" w:lineRule="auto" w:before="0" w:after="0"/>
        <w:ind w:firstLine="720"/>
      </w:pPr>
      <w:r>
        <w:rPr>
          <w:rFonts w:ascii="Times New Roman" w:hAnsi="Times New Roman" w:eastAsia="宋体"/>
          <w:b w:val="0"/>
          <w:sz w:val="24"/>
        </w:rPr>
        <w:t>The full system uses a mean of 7,640 characters of context (~2,500–3,000 tokens). With eight concurrent workers and the flash generator, median end-to-end latency per verdict was ~20–40 s (per-case breakdown: Figure 5A, source data in Supplementary S4). The system supports interactive use (a Streamlit interface with a decision-report module and a free-form RAG question-answering module).</w:t>
      </w:r>
    </w:p>
    <w:p>
      <w:pPr>
        <w:spacing w:line="360" w:lineRule="auto" w:before="240" w:after="120"/>
        <w:outlineLvl w:val="1"/>
      </w:pPr>
      <w:r>
        <w:rPr>
          <w:rFonts w:ascii="Times New Roman" w:hAnsi="Times New Roman" w:eastAsia="宋体"/>
          <w:b/>
          <w:sz w:val="28"/>
        </w:rPr>
        <w:t>Discussion</w:t>
      </w:r>
    </w:p>
    <w:p>
      <w:pPr>
        <w:spacing w:line="480" w:lineRule="auto" w:before="0" w:after="0"/>
        <w:ind w:firstLine="720"/>
      </w:pPr>
      <w:r>
        <w:rPr>
          <w:rFonts w:ascii="Times New Roman" w:hAnsi="Times New Roman" w:eastAsia="宋体"/>
          <w:b w:val="0"/>
          <w:sz w:val="24"/>
        </w:rPr>
        <w:t>We developed QianLieAnHui to operationalise the decision points where prostate-biopsy practice varies most: how systematic and MRI-targeted cores are combined, transperineal versus transrectal access, when antimicrobial prophylaxis must be escalated, and how biopsy findings feed treatment planning. We then benchmarked it under a strictly fixed generator against all 112 ProBIOPSY final statements; the full system reached exact-5 accuracy 0.805 (κ 0.730, against-F1 0.908, specificity 0.986; Table 3), +19.2 points over the strongest baseline. More informative than the margin, however, is how the baselines lost: both RAG baselines nominally beat the full system on coarse three-class accuracy, yet across 1,120 retrieval-baseline runs conditional, the action that carries "support, but only under specified conditions", was actively emitted 9 times (0.8%; pure LLM 14 times in 560) against 17.0% for the full system (Figure 2C). Retrieval-augmented models are not ignorant of the consensus text; they simply do not narrow or qualify their commitments as the patient's condition changes, although such conditional commitments are the most common situation in biopsy decision-making. The result also carries a methodological warning: the baselines' high exact-3 comes from majority-class inflation, coarse-grained metrics therefore systematically overestimate unconstrained medical RAG systems, and evaluation of such systems should be reported at the level of fine-grained actions.</w:t>
      </w:r>
    </w:p>
    <w:p>
      <w:pPr>
        <w:spacing w:line="480" w:lineRule="auto" w:before="0" w:after="0"/>
        <w:ind w:firstLine="720"/>
      </w:pPr>
      <w:r>
        <w:rPr>
          <w:rFonts w:ascii="Times New Roman" w:hAnsi="Times New Roman" w:eastAsia="宋体"/>
          <w:b w:val="0"/>
          <w:sz w:val="24"/>
        </w:rPr>
        <w:t>Read against the pathway's own geography, these results are clinically coherent. The share of against-class statements in the gold standard rises from 8.7% in indication and 14.7% in procedure to 32.7% in treatment planning (Table 4), which is what one would expect: the closer a decision sits to treatment, the heavier "do not do this" weighs, because an error there no longer means a few extra cores but may steer a patient toward focal therapy mismatched to the lesion's spatial distribution, or toward inappropriate staging. The full system held its overall advantage precisely in the against-dense treatment-planning domain, suggesting that the rule layer encodes the constraints clinicians actually weigh. The demonstration cases trace the same coverage across the pathway, from upfront biopsy after PSMA PET (a question on which the consensus experts themselves disagreed) through indeterminate bpMRI lesions to infection-risk escalation of access and prophylaxis, each producing the correct five-class action with a traceable evidence chain. Why conditional and against matter at the table is illustrated by a situation urologists meet weekly: asked whether a man with suspected locally advanced disease should undergo extended systematic biopsy, a general-purpose LLM confidently recites the extended 12-core template, while the consensus recommends reducing systematic cores to six or fewer in such patients, because curative local treatment is no longer the goal and template sampling adds mainly complications [21]. A system that can only output the generic standard answer is, for that patient, wrong.</w:t>
      </w:r>
    </w:p>
    <w:p>
      <w:pPr>
        <w:spacing w:line="480" w:lineRule="auto" w:before="0" w:after="0"/>
        <w:ind w:firstLine="720"/>
      </w:pPr>
      <w:r>
        <w:rPr>
          <w:rFonts w:ascii="Times New Roman" w:hAnsi="Times New Roman" w:eastAsia="宋体"/>
          <w:b w:val="0"/>
          <w:sz w:val="24"/>
        </w:rPr>
        <w:t>The rule layer closes precisely this gap. Sixteen consensus rules first tell the arbiter, deterministically, when a commitment must be narrowed, and then forbid any veto or endorsement that neither a rule nor a retrieved evidence chunk supports; conditional and endorse_option thereby rise from near-disuse in baseline runs to routine output. Upgrading the generator tier made naive RAG worse (exact-5 0.605 → 0.538), which rules out the possibility that stronger generation could supply this competence on its own; in our reading, fine-grained action-space competence is a property of the architecture, not an emergent bonus of scale. It has a price: the full system's 7,640-character mean context is about three times the strongest baseline's, traded for those +19.2 points, and rule-gated short-circuiting, in which pure-rule combinations skip graph retrieval, can amortise the difference where cost matters.</w:t>
      </w:r>
    </w:p>
    <w:p>
      <w:pPr>
        <w:spacing w:line="480" w:lineRule="auto" w:before="0" w:after="0"/>
        <w:ind w:firstLine="720"/>
      </w:pPr>
      <w:r>
        <w:rPr>
          <w:rFonts w:ascii="Times New Roman" w:hAnsi="Times New Roman" w:eastAsia="宋体"/>
          <w:b w:val="0"/>
          <w:sz w:val="24"/>
        </w:rPr>
        <w:t>Set against the literature, this study and medical RAG benchmarks such as MIRAGE [40] answer different questions: the former measures what a model knows, we measure whether a system can execute a consensus as auditable clinical actions. Retrieval augmentation does anchor generation to an external corpus [39], but nothing in retrieval intercepts a fluent recommendation that contradicts the guideline, and the baselines' behaviour gives that deficiency a concrete profile: against over-calling and conditional silence. This also fixes the proper role of general graph-retrieval schemes (GraphRAG [52], LightRAG [43]) in our architecture: LightRAG remains the evidence engine, while classification and restraint are delegated to the rule layer; relative to rule-based CDSS [27], whose knowledge-base maintenance burden is well documented, our design compresses the auditable surface to 16 consensus rules and delegates long-tail knowledge to the graph, coupling the two via hard constraints rather than parallel voting.</w:t>
      </w:r>
    </w:p>
    <w:p>
      <w:pPr>
        <w:spacing w:line="480" w:lineRule="auto" w:before="0" w:after="0"/>
        <w:ind w:firstLine="720"/>
      </w:pPr>
      <w:r>
        <w:rPr>
          <w:rFonts w:ascii="Times New Roman" w:hAnsi="Times New Roman" w:eastAsia="宋体"/>
          <w:b w:val="0"/>
          <w:sz w:val="24"/>
        </w:rPr>
        <w:t>The closest contemporaries appear in a field where LLMs are approaching expert-level medical question answering [31] and patient-facing responses have already been rated more empathetic than physician responses [51]. PULSE, an agent for atrial-fibrillation self-management [34], and its hypertension analogue [35], show that retrieval plus prompt optimisation raises Likert-rated response quality across base models; an EHR-integrated agent personalises prostate-cancer patient education [36]; and GeneAgent adds self-verification over domain databases for gene-set analysis [38]. Our results explain why such gains do not automatically transfer to procedural decision support: perceived response quality does not measure guideline conformance, and a fluent, empathetic answer can still misplace a veto; prompt-level safeguards persuade but do not bind, whereas hard-constrained arbitration mechanically forbids non-compliant outputs; and these agents are information tools, whereas QianLieAnHui is a clinician-facing procedural instrument benchmarked against 112 verifiable statements with multi-seed statistics and architecture ablation.</w:t>
      </w:r>
    </w:p>
    <w:p>
      <w:pPr>
        <w:spacing w:line="480" w:lineRule="auto" w:before="0" w:after="0"/>
        <w:ind w:firstLine="720"/>
      </w:pPr>
      <w:r>
        <w:rPr>
          <w:rFonts w:ascii="Times New Roman" w:hAnsi="Times New Roman" w:eastAsia="宋体"/>
          <w:b w:val="0"/>
          <w:sz w:val="24"/>
        </w:rPr>
        <w:t>The system's decision points sit squarely on current guidelines. The EAU recommends mpMRI before biopsy, MRI-targeted sampling, risk-adapted antimicrobial prophylaxis, and transperineal access where available [22]; AUA/ASTRO and its 2026 Amendment converge on the same action-level recommendations [23,24]. The underlying trial evidence is recent and consolidating — randomised evidence on transperineal access [6], an RCT meta-analysis across imaging-targeted and non-targeted settings [7], and targeted prophylaxis studies [8] — which is why the rule base encodes only the stable decision skeleton while the updating periphery lives in retrieval: as trial evidence shifts practice, the corpus and index can be rebuilt without touching the rule layer, and the SHA-256 version-integrity check makes that coupling explicit. The division of labour also mirrors how the pathway's pain points are actually experienced at the biopsy table: the safety-critical contextual calls (route, prophylaxis, scheme) are enforced mechanically rather than left to prompt compliance; image-quality and reader-variability dependence [16] is carried as explicit scenario flags; grade-discordance-aware treatment planning [13] is anchored by the largest statement domain; and the complication burden that motivates conservatism [44] is reflected in mechanically enforced veto behaviour rather than optimism.</w:t>
      </w:r>
    </w:p>
    <w:p>
      <w:pPr>
        <w:spacing w:line="480" w:lineRule="auto" w:before="0" w:after="0"/>
        <w:ind w:firstLine="720"/>
      </w:pPr>
      <w:r>
        <w:rPr>
          <w:rFonts w:ascii="Times New Roman" w:hAnsi="Times New Roman" w:eastAsia="宋体"/>
          <w:b w:val="0"/>
          <w:sz w:val="24"/>
        </w:rPr>
        <w:t>Beyond the benchmark, the four-expert blinded review provides a second, human line of evidence, and what it tests is not only whether the verdict is right but whether the reasons survive inspection: the experts' judgements matched the system's output in all four cases with a decisive majority (Cohen κ = 1.000; Figure 3), and in the split case the two experts who hesitated to add systematic cores to targeted plus perilesional biopsy cited treatment-plan dependence, whole-gland versus focal therapy altering the value of added systematic cores, which is the same consideration the system's evidence chain raises with a contralateral systematic yield of 0.3–4% (EV0024). The system, in other words, presents not a black-box verdict but reasoning material that experts can independently verify. With a negative Fleiss κ that is a small-sample artefact and Likert ratings at the ceiling, this remains preliminary support; the sample-size caveats are detailed under Limitations.</w:t>
      </w:r>
    </w:p>
    <w:p>
      <w:pPr>
        <w:spacing w:line="480" w:lineRule="auto" w:before="0" w:after="0"/>
        <w:ind w:firstLine="720"/>
      </w:pPr>
      <w:r>
        <w:rPr>
          <w:rFonts w:ascii="Times New Roman" w:hAnsi="Times New Roman" w:eastAsia="宋体"/>
          <w:b w:val="0"/>
          <w:sz w:val="24"/>
        </w:rPr>
        <w:t>For deployment, the asymmetry we would emphasise most is the unequal cost of the two error directions of a veto. In biopsy practice, an unsupported "yes" can mean biopsying despite inadequate image quality, transrectal access without prophylaxis escalation in a patient with infection risk factors, or a sampling scheme that does not serve the planned treatment intent, with consequences that land directly as complications or treatment mismatch; a conservative "no" costs at most one more imaging review or multidisciplinary discussion. The system therefore suppresses false positives first, and its specificity of 0.986 is the mechanical consequence of requiring rule or evidence support for every veto rather than a tone that prompting could reliably produce. Traceability (Q-codes, triggered rules, and evidence-chunk citations on every output) and version integrity (the rule-file SHA-256 recorded at index build and verified live by the UI) prevent the classically described failure mode of a silently stale knowledge base [25] and complete the triad that makes governance audits possible, which pure-LLM pipelines cannot provide.</w:t>
      </w:r>
    </w:p>
    <w:p>
      <w:pPr>
        <w:spacing w:line="480" w:lineRule="auto" w:before="0" w:after="0"/>
        <w:ind w:firstLine="720"/>
      </w:pPr>
      <w:r>
        <w:rPr>
          <w:rFonts w:ascii="Times New Roman" w:hAnsi="Times New Roman" w:eastAsia="宋体"/>
          <w:b w:val="0"/>
          <w:sz w:val="24"/>
        </w:rPr>
        <w:t>The biopsy pathway is incomplete if the agent serves only the clinician's half of the consultation. Patient education depends on clinicians interpreting concrete details of the procedure and its results, yet clinician time for such conversations is limited, and patients' evolving informational and emotional needs are among the first casualties of stretched clinics — the asymmetry that motivates patient-facing agents in other medical domains [34,36]. QianLieAnHui addresses this asymmetrically rather than by weakening its constraints: the education mode reuses the same frozen evidence chain and adds a curated fact base whose every entry is source-traceable, so a patient answer can be audited exactly like a clinician verdict. The content is clinically consequential. Isolated HGPIN on extended biopsy schemes generally does not mandate early repeat biopsy, whereas ASAP warrants re-sampling because a meaningful fraction of such re-biopsies detect clinically significant cancer [45,46] — precisely the messages patients miss when counselling time is short, and the reason a benign report must never end follow-up. The mode deliberately issues no action verdict: education outputs cite their evidence and route the patient back to the treating clinician, keeping the hard-constrained five-action layer exclusive to clinician-facing decisions.</w:t>
      </w:r>
    </w:p>
    <w:p>
      <w:pPr>
        <w:spacing w:line="480" w:lineRule="auto" w:before="0" w:after="0"/>
        <w:ind w:firstLine="720"/>
      </w:pPr>
      <w:r>
        <w:rPr>
          <w:rFonts w:ascii="Times New Roman" w:hAnsi="Times New Roman" w:eastAsia="宋体"/>
          <w:b w:val="0"/>
          <w:sz w:val="24"/>
        </w:rPr>
        <w:t>The path toward clinical piloting follows from these gaps: extending the expert panel to a multi-centre face-validity and usability study; a prospective registry study with real cases, reported under emerging AI-evaluation standards [53,54]; FHIR integration for automatic scenario filling from the EMR; on-premises generator deployment to eliminate PHI-transfer concerns; and a supervised pilot evaluating the education mode for readability, comprehension, and anxiety reduction. Among these, extending the rule base to other guideline chapters (active surveillance, imaging follow-up) and emerging PSMA-PET–first pathways [55] carries meaning beyond this system, because it tests how generalisable statement-level consensus executability is as a method. ProBIOPSY [21] is only the first consensus we have operationalised; any international consensus that terminates in explicit statements could, in principle, travel the same route of deterministic rule priors, evidence retrieval, and constrained arbitration, from static text for human reading to an executable, auditable checklist at the point of decision. If that portability holds, what this study leaves behind is not only a biopsy decision-support system but a reusable recipe for turning consensus documents into governable software.</w:t>
      </w:r>
    </w:p>
    <w:p>
      <w:pPr>
        <w:spacing w:line="360" w:lineRule="auto" w:before="240" w:after="120"/>
        <w:outlineLvl w:val="1"/>
      </w:pPr>
      <w:r>
        <w:rPr>
          <w:rFonts w:ascii="Times New Roman" w:hAnsi="Times New Roman" w:eastAsia="宋体"/>
          <w:b/>
          <w:sz w:val="28"/>
        </w:rPr>
        <w:t>Limitations</w:t>
      </w:r>
    </w:p>
    <w:p>
      <w:pPr>
        <w:spacing w:line="480" w:lineRule="auto" w:before="0" w:after="0"/>
        <w:ind w:firstLine="720"/>
      </w:pPr>
      <w:r>
        <w:rPr>
          <w:rFonts w:ascii="Times New Roman" w:hAnsi="Times New Roman" w:eastAsia="宋体"/>
          <w:b w:val="0"/>
          <w:sz w:val="24"/>
        </w:rPr>
        <w:t xml:space="preserve">First, </w:t>
      </w:r>
      <w:r>
        <w:rPr>
          <w:rFonts w:ascii="Times New Roman" w:hAnsi="Times New Roman" w:eastAsia="宋体"/>
          <w:b/>
          <w:sz w:val="24"/>
        </w:rPr>
        <w:t>corpus–gold-standard homology</w:t>
      </w:r>
      <w:r>
        <w:rPr>
          <w:rFonts w:ascii="Times New Roman" w:hAnsi="Times New Roman" w:eastAsia="宋体"/>
          <w:b w:val="0"/>
          <w:sz w:val="24"/>
        </w:rPr>
        <w:t xml:space="preserve">: corpus and gold standard both derive from the ProBIOPSY consensus, so this is a </w:t>
      </w:r>
      <w:r>
        <w:rPr>
          <w:rFonts w:ascii="Times New Roman" w:hAnsi="Times New Roman" w:eastAsia="宋体"/>
          <w:b w:val="0"/>
          <w:i/>
          <w:sz w:val="24"/>
        </w:rPr>
        <w:t>consensus-conformance</w:t>
      </w:r>
      <w:r>
        <w:rPr>
          <w:rFonts w:ascii="Times New Roman" w:hAnsi="Times New Roman" w:eastAsia="宋体"/>
          <w:b w:val="0"/>
          <w:sz w:val="24"/>
        </w:rPr>
        <w:t xml:space="preserve"> evaluation rather than independent clinical validity; EAU and AUA/ASTRO recommendations enter the system only through the rule layer's cross-check — their text is deliberately absent from the retrieval corpus (see Methods) — so guideline concordance at </w:t>
      </w:r>
      <w:r>
        <w:rPr>
          <w:rFonts w:ascii="Times New Roman" w:hAnsi="Times New Roman" w:eastAsia="宋体"/>
          <w:b w:val="0"/>
          <w:i/>
          <w:sz w:val="24"/>
        </w:rPr>
        <w:t>retrieval</w:t>
      </w:r>
      <w:r>
        <w:rPr>
          <w:rFonts w:ascii="Times New Roman" w:hAnsi="Times New Roman" w:eastAsia="宋体"/>
          <w:b w:val="0"/>
          <w:sz w:val="24"/>
        </w:rPr>
        <w:t xml:space="preserve"> level is untested; the system never saw action labels during development and the rule base covers only 16 topics, but exposure to statement text cannot be excluded, and prospective external validation is the necessary next step. Second, </w:t>
      </w:r>
      <w:r>
        <w:rPr>
          <w:rFonts w:ascii="Times New Roman" w:hAnsi="Times New Roman" w:eastAsia="宋体"/>
          <w:b/>
          <w:sz w:val="24"/>
        </w:rPr>
        <w:t>the residual conditional weakness</w:t>
      </w:r>
      <w:r>
        <w:rPr>
          <w:rFonts w:ascii="Times New Roman" w:hAnsi="Times New Roman" w:eastAsia="宋体"/>
          <w:b w:val="0"/>
          <w:sz w:val="24"/>
        </w:rPr>
        <w:t xml:space="preserve">: conditional recall is 0.51 with an over-permissive error skew (74/185 gold-conditional statements predicted endorse); deployed without the rule layer's hard constraints, such errors would shift towards false endorsement, so class-specific calibration is required before clinical piloting. Third, </w:t>
      </w:r>
      <w:r>
        <w:rPr>
          <w:rFonts w:ascii="Times New Roman" w:hAnsi="Times New Roman" w:eastAsia="宋体"/>
          <w:b/>
          <w:sz w:val="24"/>
        </w:rPr>
        <w:t>the face-validity panel is small</w:t>
      </w:r>
      <w:r>
        <w:rPr>
          <w:rFonts w:ascii="Times New Roman" w:hAnsi="Times New Roman" w:eastAsia="宋体"/>
          <w:b w:val="0"/>
          <w:sz w:val="24"/>
        </w:rPr>
        <w:t xml:space="preserve">: four experts rated five composite propositions; agreement statistics at this n are unstable (a negative Fleiss κ despite 17/20 raw agreement illustrates the artefact [50]), all Likert ratings hit the ceiling, and the panel was single-institution — the review therefore supports preliminary face validity only. Fourth, </w:t>
      </w:r>
      <w:r>
        <w:rPr>
          <w:rFonts w:ascii="Times New Roman" w:hAnsi="Times New Roman" w:eastAsia="宋体"/>
          <w:b/>
          <w:sz w:val="24"/>
        </w:rPr>
        <w:t>synthetic scenarios</w:t>
      </w:r>
      <w:r>
        <w:rPr>
          <w:rFonts w:ascii="Times New Roman" w:hAnsi="Times New Roman" w:eastAsia="宋体"/>
          <w:b w:val="0"/>
          <w:sz w:val="24"/>
        </w:rPr>
        <w:t xml:space="preserve">: the 51 scenario archetypes and five demonstration cases are synthetic and do not span the full comorbidity complexity of real patients. Fifth, </w:t>
      </w:r>
      <w:r>
        <w:rPr>
          <w:rFonts w:ascii="Times New Roman" w:hAnsi="Times New Roman" w:eastAsia="宋体"/>
          <w:b/>
          <w:sz w:val="24"/>
        </w:rPr>
        <w:t>single generator family</w:t>
      </w:r>
      <w:r>
        <w:rPr>
          <w:rFonts w:ascii="Times New Roman" w:hAnsi="Times New Roman" w:eastAsia="宋体"/>
          <w:b w:val="0"/>
          <w:sz w:val="24"/>
        </w:rPr>
        <w:t xml:space="preserve">: the benchmark used the GLM family (flash and flagship tiers); cross-vendor generalisation is untested, although the supplement shows generator tier is not the decisive factor. Sixth, </w:t>
      </w:r>
      <w:r>
        <w:rPr>
          <w:rFonts w:ascii="Times New Roman" w:hAnsi="Times New Roman" w:eastAsia="宋体"/>
          <w:b/>
          <w:sz w:val="24"/>
        </w:rPr>
        <w:t>combinatorial coverage</w:t>
      </w:r>
      <w:r>
        <w:rPr>
          <w:rFonts w:ascii="Times New Roman" w:hAnsi="Times New Roman" w:eastAsia="宋体"/>
          <w:b w:val="0"/>
          <w:sz w:val="24"/>
        </w:rPr>
        <w:t xml:space="preserve">: 112 statements cover the high-frequency region of the 51 × 54 interaction space; long-tail coverage is unquantified. Seventh, </w:t>
      </w:r>
      <w:r>
        <w:rPr>
          <w:rFonts w:ascii="Times New Roman" w:hAnsi="Times New Roman" w:eastAsia="宋体"/>
          <w:b/>
          <w:sz w:val="24"/>
        </w:rPr>
        <w:t>context cost</w:t>
      </w:r>
      <w:r>
        <w:rPr>
          <w:rFonts w:ascii="Times New Roman" w:hAnsi="Times New Roman" w:eastAsia="宋体"/>
          <w:b w:val="0"/>
          <w:sz w:val="24"/>
        </w:rPr>
        <w:t xml:space="preserve">: the full system's 7,640-character mean context is ~3× the strongest baseline, traded for +19.2 points exact-5; rule-gated short-circuiting (pure-rule combinations skip graph retrieval) can amortise this further. Eighth, </w:t>
      </w:r>
      <w:r>
        <w:rPr>
          <w:rFonts w:ascii="Times New Roman" w:hAnsi="Times New Roman" w:eastAsia="宋体"/>
          <w:b/>
          <w:sz w:val="24"/>
        </w:rPr>
        <w:t>language and region</w:t>
      </w:r>
      <w:r>
        <w:rPr>
          <w:rFonts w:ascii="Times New Roman" w:hAnsi="Times New Roman" w:eastAsia="宋体"/>
          <w:b w:val="0"/>
          <w:sz w:val="24"/>
        </w:rPr>
        <w:t xml:space="preserve">: the corpus is English, the scenario registry and UI Chinese; cross-lingual transfer is untested. Ninth, </w:t>
      </w:r>
      <w:r>
        <w:rPr>
          <w:rFonts w:ascii="Times New Roman" w:hAnsi="Times New Roman" w:eastAsia="宋体"/>
          <w:b/>
          <w:sz w:val="24"/>
        </w:rPr>
        <w:t>patient-education mode</w:t>
      </w:r>
      <w:r>
        <w:rPr>
          <w:rFonts w:ascii="Times New Roman" w:hAnsi="Times New Roman" w:eastAsia="宋体"/>
          <w:b w:val="0"/>
          <w:sz w:val="24"/>
        </w:rPr>
        <w:t>: the mode is a design contribution demonstrated on three verbatim consultations, not an evaluated intervention — no readability scoring, comprehension testing, or patient-user study has been performed, and the ten-entry fact base covers common questions rather than the full space of patient concerns.</w:t>
      </w:r>
    </w:p>
    <w:p>
      <w:pPr>
        <w:spacing w:line="360" w:lineRule="auto" w:before="240" w:after="120"/>
        <w:outlineLvl w:val="1"/>
      </w:pPr>
      <w:r>
        <w:rPr>
          <w:rFonts w:ascii="Times New Roman" w:hAnsi="Times New Roman" w:eastAsia="宋体"/>
          <w:b/>
          <w:sz w:val="28"/>
        </w:rPr>
        <w:t>Conclusions</w:t>
      </w:r>
    </w:p>
    <w:p>
      <w:pPr>
        <w:spacing w:line="480" w:lineRule="auto" w:before="0" w:after="0"/>
        <w:ind w:firstLine="720"/>
      </w:pPr>
      <w:r>
        <w:rPr>
          <w:rFonts w:ascii="Times New Roman" w:hAnsi="Times New Roman" w:eastAsia="宋体"/>
          <w:b w:val="0"/>
          <w:sz w:val="24"/>
        </w:rPr>
        <w:t>QianLieAnHui demonstrates that chaining deterministic rule hard constraints, knowledge-graph evidence retrieval, and LLM arbitration, with each layer covering the others' failure modes, raises fine-grained clinical decision accuracy to a level suitable for pilot clinical evaluation (exact-5 0.805, κ 0.730, against-F1 0.908) against an international consensus gold standard, with every output traceable to numbered statements and evidence chunks; the same frozen evidence chain also supports auditable lay-language patient education, demonstrated qualitatively. What the benchmark establishes is consensus conformance, and independent clinical validity awaits prospective external validation. Architecture, not a larger model, is currently the dominant lever for medical decision support.</w:t>
      </w:r>
    </w:p>
    <w:p>
      <w:pPr>
        <w:spacing w:line="360" w:lineRule="auto" w:before="240" w:after="120"/>
        <w:outlineLvl w:val="1"/>
      </w:pPr>
      <w:r>
        <w:rPr>
          <w:rFonts w:ascii="Times New Roman" w:hAnsi="Times New Roman" w:eastAsia="宋体"/>
          <w:b/>
          <w:sz w:val="28"/>
        </w:rPr>
        <w:t>Data availability</w:t>
      </w:r>
    </w:p>
    <w:p>
      <w:pPr>
        <w:spacing w:line="480" w:lineRule="auto" w:before="0" w:after="0"/>
        <w:ind w:firstLine="720"/>
      </w:pPr>
      <w:r>
        <w:rPr>
          <w:rFonts w:ascii="Times New Roman" w:hAnsi="Times New Roman" w:eastAsia="宋体"/>
          <w:b w:val="0"/>
          <w:sz w:val="24"/>
        </w:rPr>
        <w:t>The rule base (configs/rules.yaml), both registries (entities_a.csv, entities_b.csv), the evidence corpus (evidence_chunks.jsonl, 357 chunks), the patient-education fact base (patient_education_facts.csv, ten source-traceable entries), the verbatim patient-education transcripts (demo_cases/patient_edu/), the gold-standard annotations (probiopsy_statements.csv, 112 statements), all 2,240 raw predictions with per-run context sizes and retrieved-chunk counts (baseline_predictions.jsonl), the flagship-tier supplement (baseline_predictions_glm53.jsonl), the evaluation script (evaluate.py), and all figure source data are released with the repository (https://github.com/xuzekun6251/probiopsy-rag) and archived on Zenodo [56].</w:t>
      </w:r>
    </w:p>
    <w:p>
      <w:pPr>
        <w:spacing w:line="360" w:lineRule="auto" w:before="240" w:after="120"/>
        <w:outlineLvl w:val="1"/>
      </w:pPr>
      <w:r>
        <w:rPr>
          <w:rFonts w:ascii="Times New Roman" w:hAnsi="Times New Roman" w:eastAsia="宋体"/>
          <w:b/>
          <w:sz w:val="28"/>
        </w:rPr>
        <w:t>Ethics statement</w:t>
      </w:r>
    </w:p>
    <w:p>
      <w:pPr>
        <w:spacing w:line="480" w:lineRule="auto" w:before="0" w:after="0"/>
        <w:ind w:firstLine="720"/>
      </w:pPr>
      <w:r>
        <w:rPr>
          <w:rFonts w:ascii="Times New Roman" w:hAnsi="Times New Roman" w:eastAsia="宋体"/>
          <w:b w:val="0"/>
          <w:sz w:val="24"/>
        </w:rPr>
        <w:t>No patient data or biological samples were involved. The evidence corpus and gold standard derive solely from the published ProBIOPSY consensus and its supplementary material; all demonstration cases are synthetic vignettes constructed by the study team. No patient-identifiable data were transmitted to third-party model APIs. The four-expert blinded review used anonymous, voluntary participation (experts 1–4; no identifiable data collected; participation-information sheet embedded in the questionnaire). Institutional review board approval was therefore not required; the assessment is documented in the project ethics file accompanying the repository.</w:t>
      </w:r>
    </w:p>
    <w:p>
      <w:pPr>
        <w:spacing w:line="360" w:lineRule="auto" w:before="240" w:after="120"/>
        <w:outlineLvl w:val="1"/>
      </w:pPr>
      <w:r>
        <w:rPr>
          <w:rFonts w:ascii="Times New Roman" w:hAnsi="Times New Roman" w:eastAsia="宋体"/>
          <w:b/>
          <w:sz w:val="28"/>
        </w:rPr>
        <w:t>Figure legends</w:t>
      </w:r>
    </w:p>
    <w:p>
      <w:pPr>
        <w:spacing w:line="480" w:lineRule="auto" w:before="0" w:after="0"/>
        <w:ind w:firstLine="720"/>
      </w:pPr>
      <w:r>
        <w:rPr>
          <w:rFonts w:ascii="Times New Roman" w:hAnsi="Times New Roman" w:eastAsia="宋体"/>
          <w:b/>
          <w:sz w:val="24"/>
        </w:rPr>
        <w:t>Figure 1.</w:t>
      </w:r>
      <w:r>
        <w:rPr>
          <w:rFonts w:ascii="Times New Roman" w:hAnsi="Times New Roman" w:eastAsia="宋体"/>
          <w:b w:val="0"/>
          <w:sz w:val="24"/>
        </w:rPr>
        <w:t xml:space="preserve"> System architecture and benchmark design. The ProBIOPSY consensus corpus (112 final statements; 357 evidence chunks; LightRAG index of 1,864 entities and 3,078 relations) is distilled at build time into 16 deterministic rules and the retrieval index. At run time, a patient-scenario × decision-item query passes through (1) the deterministic rule engine, which emits Q-coded hard constraints (dashed arrow binding the arbiter), (2) risk-guided retrieval over the LightRAG knowledge graph fused with the lexical evidence store, and (3) an LLM arbiter (GLM-5.3) that produces a five-class action verdict with statement-level citations under hard-constrained decoding. An example query (unifocal PI-RADS 4 lesion, focal therapy planned) and the corresponding structured output are shown. A second runtime mode (strip below the pipeline) reuses the identical frozen evidence base for patient-facing education: the patient's lay question is keyword-matched against a curated, source-traceable fact base (ten entries), and the same generator produces a plain-language answer with an explicit safety-netting paragraph and referral to the treating urologist (demonstrated qualitatively; not part of the benchmark). Bottom strip: the multi-method, multi-seed benchmark (112 statements × 4 methods × 5 seeds = 2,240 runs, generator held fixed).</w:t>
      </w:r>
    </w:p>
    <w:p>
      <w:pPr>
        <w:spacing w:line="480" w:lineRule="auto" w:before="0" w:after="0"/>
        <w:ind w:firstLine="720"/>
      </w:pPr>
      <w:r>
        <w:rPr>
          <w:rFonts w:ascii="Times New Roman" w:hAnsi="Times New Roman" w:eastAsia="宋体"/>
          <w:b/>
          <w:sz w:val="24"/>
        </w:rPr>
        <w:t>Figure 2.</w:t>
      </w:r>
      <w:r>
        <w:rPr>
          <w:rFonts w:ascii="Times New Roman" w:hAnsi="Times New Roman" w:eastAsia="宋体"/>
          <w:b w:val="0"/>
          <w:sz w:val="24"/>
        </w:rPr>
        <w:t xml:space="preserve"> Multi-seed benchmark (4 methods × 5 seeds × 112 statements). </w:t>
      </w:r>
      <w:r>
        <w:rPr>
          <w:rFonts w:ascii="Times New Roman" w:hAnsi="Times New Roman" w:eastAsia="宋体"/>
          <w:b/>
          <w:sz w:val="24"/>
        </w:rPr>
        <w:t>(a)</w:t>
      </w:r>
      <w:r>
        <w:rPr>
          <w:rFonts w:ascii="Times New Roman" w:hAnsi="Times New Roman" w:eastAsia="宋体"/>
          <w:b w:val="0"/>
          <w:sz w:val="24"/>
        </w:rPr>
        <w:t xml:space="preserve"> Core metrics by method (mean ± SD across 5 seeds): exact-5 accuracy, exact-3 accuracy, macro-F1, Cohen's κ, and against-class F1. </w:t>
      </w:r>
      <w:r>
        <w:rPr>
          <w:rFonts w:ascii="Times New Roman" w:hAnsi="Times New Roman" w:eastAsia="宋体"/>
          <w:b/>
          <w:sz w:val="24"/>
        </w:rPr>
        <w:t>(b)</w:t>
      </w:r>
      <w:r>
        <w:rPr>
          <w:rFonts w:ascii="Times New Roman" w:hAnsi="Times New Roman" w:eastAsia="宋体"/>
          <w:b w:val="0"/>
          <w:sz w:val="24"/>
        </w:rPr>
        <w:t xml:space="preserve"> Exact-5 accuracy per seed (dots; dash = mean). </w:t>
      </w:r>
      <w:r>
        <w:rPr>
          <w:rFonts w:ascii="Times New Roman" w:hAnsi="Times New Roman" w:eastAsia="宋体"/>
          <w:b/>
          <w:sz w:val="24"/>
        </w:rPr>
        <w:t>(c)</w:t>
      </w:r>
      <w:r>
        <w:rPr>
          <w:rFonts w:ascii="Times New Roman" w:hAnsi="Times New Roman" w:eastAsia="宋体"/>
          <w:b w:val="0"/>
          <w:sz w:val="24"/>
        </w:rPr>
        <w:t xml:space="preserve"> Predicted class distribution per method over 560 runs (bars) with the gold-standard distribution (diamonds) — retrieval baselines almost never emit conditional; the full system's distribution tracks the gold standard most closely.</w:t>
      </w:r>
    </w:p>
    <w:p>
      <w:pPr>
        <w:spacing w:line="480" w:lineRule="auto" w:before="0" w:after="0"/>
        <w:ind w:firstLine="720"/>
      </w:pPr>
      <w:r>
        <w:rPr>
          <w:rFonts w:ascii="Times New Roman" w:hAnsi="Times New Roman" w:eastAsia="宋体"/>
          <w:b/>
          <w:sz w:val="24"/>
        </w:rPr>
        <w:t>Figure 3.</w:t>
      </w:r>
      <w:r>
        <w:rPr>
          <w:rFonts w:ascii="Times New Roman" w:hAnsi="Times New Roman" w:eastAsia="宋体"/>
          <w:b w:val="0"/>
          <w:sz w:val="24"/>
        </w:rPr>
        <w:t xml:space="preserve"> Four-expert blinded review of the five demonstration cases (composite propositions). </w:t>
      </w:r>
      <w:r>
        <w:rPr>
          <w:rFonts w:ascii="Times New Roman" w:hAnsi="Times New Roman" w:eastAsia="宋体"/>
          <w:b/>
          <w:sz w:val="24"/>
        </w:rPr>
        <w:t>(a)</w:t>
      </w:r>
      <w:r>
        <w:rPr>
          <w:rFonts w:ascii="Times New Roman" w:hAnsi="Times New Roman" w:eastAsia="宋体"/>
          <w:b w:val="0"/>
          <w:sz w:val="24"/>
        </w:rPr>
        <w:t xml:space="preserve"> Per-case inter-rater agreement (modal-rating share of 4 experts; dashed line = 3/4). The Fleiss κ of −0.09 (marked </w:t>
      </w:r>
      <w:r>
        <w:rPr>
          <w:rFonts w:ascii="Times New Roman" w:hAnsi="Times New Roman" w:eastAsia="宋体"/>
          <w:b w:val="0"/>
          <w:i/>
          <w:sz w:val="24"/>
        </w:rPr>
        <w:t xml:space="preserve">) is a small-sample artefact — raw agreement is 17/20. </w:t>
      </w:r>
      <w:r>
        <w:rPr>
          <w:rFonts w:ascii="Times New Roman" w:hAnsi="Times New Roman" w:eastAsia="宋体"/>
          <w:b w:val="0"/>
          <w:i/>
          <w:sz w:val="24"/>
        </w:rPr>
        <w:t>(b)</w:t>
      </w:r>
      <w:r>
        <w:rPr>
          <w:rFonts w:ascii="Times New Roman" w:hAnsi="Times New Roman" w:eastAsia="宋体"/>
          <w:b w:val="0"/>
          <w:i/>
          <w:sz w:val="24"/>
        </w:rPr>
        <w:t xml:space="preserve"> Ratings by case and rater (End = endorse, EndO = endorse_option, Cond = conditional, RepO = report_option, Aga = against). The System column shows the system verdict, which matches the expert majority in all four cases with a decisive majority; case 1 was a 2:2 tie (excluded per the pre-registered rule). </w:t>
      </w:r>
      <w:r>
        <w:rPr>
          <w:rFonts w:ascii="Times New Roman" w:hAnsi="Times New Roman" w:eastAsia="宋体"/>
          <w:b w:val="0"/>
          <w:i/>
          <w:sz w:val="24"/>
        </w:rPr>
        <w:t>(c)</w:t>
      </w:r>
      <w:r>
        <w:rPr>
          <w:rFonts w:ascii="Times New Roman" w:hAnsi="Times New Roman" w:eastAsia="宋体"/>
          <w:b w:val="0"/>
          <w:sz w:val="24"/>
        </w:rPr>
        <w:t>* Expert Likert ratings of the system output (clarity, usefulness, recommendation, evidence; uniformly 5 — ceiling).</w:t>
      </w:r>
    </w:p>
    <w:p>
      <w:pPr>
        <w:spacing w:line="480" w:lineRule="auto" w:before="0" w:after="0"/>
        <w:ind w:firstLine="720"/>
      </w:pPr>
      <w:r>
        <w:rPr>
          <w:rFonts w:ascii="Times New Roman" w:hAnsi="Times New Roman" w:eastAsia="宋体"/>
          <w:b/>
          <w:sz w:val="24"/>
        </w:rPr>
        <w:t>Figure 4.</w:t>
      </w:r>
      <w:r>
        <w:rPr>
          <w:rFonts w:ascii="Times New Roman" w:hAnsi="Times New Roman" w:eastAsia="宋体"/>
          <w:b w:val="0"/>
          <w:sz w:val="24"/>
        </w:rPr>
        <w:t xml:space="preserve"> Demonstration cases. </w:t>
      </w:r>
      <w:r>
        <w:rPr>
          <w:rFonts w:ascii="Times New Roman" w:hAnsi="Times New Roman" w:eastAsia="宋体"/>
          <w:b/>
          <w:sz w:val="24"/>
        </w:rPr>
        <w:t>(a)</w:t>
      </w:r>
      <w:r>
        <w:rPr>
          <w:rFonts w:ascii="Times New Roman" w:hAnsi="Times New Roman" w:eastAsia="宋体"/>
          <w:b w:val="0"/>
          <w:sz w:val="24"/>
        </w:rPr>
        <w:t xml:space="preserve"> Consensus rules fired per case, coloured by recommended action. </w:t>
      </w:r>
      <w:r>
        <w:rPr>
          <w:rFonts w:ascii="Times New Roman" w:hAnsi="Times New Roman" w:eastAsia="宋体"/>
          <w:b/>
          <w:sz w:val="24"/>
        </w:rPr>
        <w:t>(b)</w:t>
      </w:r>
      <w:r>
        <w:rPr>
          <w:rFonts w:ascii="Times New Roman" w:hAnsi="Times New Roman" w:eastAsia="宋体"/>
          <w:b w:val="0"/>
          <w:sz w:val="24"/>
        </w:rPr>
        <w:t xml:space="preserve"> Evidence corpus composition (112 consensus statements, 218 literature entries, 20 narrative passages, 7 systematic-review summaries).</w:t>
      </w:r>
    </w:p>
    <w:p>
      <w:pPr>
        <w:spacing w:line="480" w:lineRule="auto" w:before="0" w:after="0"/>
        <w:ind w:firstLine="720"/>
      </w:pPr>
      <w:r>
        <w:rPr>
          <w:rFonts w:ascii="Times New Roman" w:hAnsi="Times New Roman" w:eastAsia="宋体"/>
          <w:b/>
          <w:sz w:val="24"/>
        </w:rPr>
        <w:t>Figure 5.</w:t>
      </w:r>
      <w:r>
        <w:rPr>
          <w:rFonts w:ascii="Times New Roman" w:hAnsi="Times New Roman" w:eastAsia="宋体"/>
          <w:b w:val="0"/>
          <w:sz w:val="24"/>
        </w:rPr>
        <w:t xml:space="preserve"> Runtime and knowledge-graph statistics. </w:t>
      </w:r>
      <w:r>
        <w:rPr>
          <w:rFonts w:ascii="Times New Roman" w:hAnsi="Times New Roman" w:eastAsia="宋体"/>
          <w:b/>
          <w:sz w:val="24"/>
        </w:rPr>
        <w:t>(a)</w:t>
      </w:r>
      <w:r>
        <w:rPr>
          <w:rFonts w:ascii="Times New Roman" w:hAnsi="Times New Roman" w:eastAsia="宋体"/>
          <w:b w:val="0"/>
          <w:sz w:val="24"/>
        </w:rPr>
        <w:t xml:space="preserve"> Decision-pass latency per demonstration case (log scale): the rule-engine layer (blue) versus retrieval + arbitration (yellow). </w:t>
      </w:r>
      <w:r>
        <w:rPr>
          <w:rFonts w:ascii="Times New Roman" w:hAnsi="Times New Roman" w:eastAsia="宋体"/>
          <w:b/>
          <w:sz w:val="24"/>
        </w:rPr>
        <w:t>(b)</w:t>
      </w:r>
      <w:r>
        <w:rPr>
          <w:rFonts w:ascii="Times New Roman" w:hAnsi="Times New Roman" w:eastAsia="宋体"/>
          <w:b w:val="0"/>
          <w:sz w:val="24"/>
        </w:rPr>
        <w:t xml:space="preserve"> Strongest knowledge-graph relations: the top-12 of 3,078 edges by relation weight.</w:t>
      </w:r>
    </w:p>
    <w:p>
      <w:pPr>
        <w:spacing w:line="360" w:lineRule="auto" w:before="240" w:after="120"/>
        <w:outlineLvl w:val="1"/>
      </w:pPr>
      <w:r>
        <w:rPr>
          <w:rFonts w:ascii="Times New Roman" w:hAnsi="Times New Roman" w:eastAsia="宋体"/>
          <w:b/>
          <w:sz w:val="28"/>
        </w:rPr>
        <w:t>Acknowledgments</w:t>
      </w:r>
    </w:p>
    <w:p>
      <w:pPr>
        <w:spacing w:line="480" w:lineRule="auto" w:before="0" w:after="0"/>
        <w:ind w:firstLine="720"/>
      </w:pPr>
      <w:r>
        <w:rPr>
          <w:rFonts w:ascii="Times New Roman" w:hAnsi="Times New Roman" w:eastAsia="宋体"/>
          <w:b w:val="0"/>
          <w:sz w:val="24"/>
        </w:rPr>
        <w:t>The author gratefully thanks the four urology experts who participated in the blinded face-validity review (anonymous by design of the study), and the ProBIOPSY consensus group whose statement-level work made an executable, statement-by-statement validation possible.</w:t>
      </w:r>
    </w:p>
    <w:p>
      <w:pPr>
        <w:spacing w:line="360" w:lineRule="auto" w:before="240" w:after="120"/>
        <w:outlineLvl w:val="1"/>
      </w:pPr>
      <w:r>
        <w:rPr>
          <w:rFonts w:ascii="Times New Roman" w:hAnsi="Times New Roman" w:eastAsia="宋体"/>
          <w:b/>
          <w:sz w:val="28"/>
        </w:rPr>
        <w:t>Funding</w:t>
      </w:r>
    </w:p>
    <w:p>
      <w:pPr>
        <w:spacing w:line="480" w:lineRule="auto" w:before="0" w:after="0"/>
        <w:ind w:firstLine="720"/>
      </w:pPr>
      <w:r>
        <w:rPr>
          <w:rFonts w:ascii="Times New Roman" w:hAnsi="Times New Roman" w:eastAsia="宋体"/>
          <w:b w:val="0"/>
          <w:sz w:val="24"/>
        </w:rPr>
        <w:t>This research received no external funding</w:t>
      </w:r>
    </w:p>
    <w:p>
      <w:pPr>
        <w:spacing w:line="360" w:lineRule="auto" w:before="240" w:after="120"/>
        <w:outlineLvl w:val="1"/>
      </w:pPr>
      <w:r>
        <w:rPr>
          <w:rFonts w:ascii="Times New Roman" w:hAnsi="Times New Roman" w:eastAsia="宋体"/>
          <w:b/>
          <w:sz w:val="28"/>
        </w:rPr>
        <w:t>Conflicts of interest</w:t>
      </w:r>
    </w:p>
    <w:p>
      <w:pPr>
        <w:spacing w:line="480" w:lineRule="auto" w:before="0" w:after="0"/>
        <w:ind w:firstLine="720"/>
      </w:pPr>
      <w:r>
        <w:rPr>
          <w:rFonts w:ascii="Times New Roman" w:hAnsi="Times New Roman" w:eastAsia="宋体"/>
          <w:b w:val="0"/>
          <w:sz w:val="24"/>
        </w:rPr>
        <w:t>The authors declare no conflicts of interest.</w:t>
      </w:r>
    </w:p>
    <w:p>
      <w:pPr>
        <w:spacing w:line="360" w:lineRule="auto" w:before="240" w:after="120"/>
        <w:outlineLvl w:val="1"/>
      </w:pPr>
      <w:r>
        <w:rPr>
          <w:rFonts w:ascii="Times New Roman" w:hAnsi="Times New Roman" w:eastAsia="宋体"/>
          <w:b/>
          <w:sz w:val="28"/>
        </w:rPr>
        <w:t>CRediT author contributions</w:t>
      </w:r>
    </w:p>
    <w:p>
      <w:pPr>
        <w:spacing w:line="480" w:lineRule="auto" w:before="0" w:after="0"/>
        <w:ind w:firstLine="720"/>
      </w:pPr>
      <w:r>
        <w:rPr>
          <w:rFonts w:ascii="Times New Roman" w:hAnsi="Times New Roman" w:eastAsia="宋体"/>
          <w:b w:val="0"/>
          <w:sz w:val="24"/>
        </w:rPr>
        <w:t>XU Zekun: Conceptualization, Methodology, Software, Validation, Writing – original draft.</w:t>
      </w:r>
    </w:p>
    <w:p>
      <w:pPr>
        <w:spacing w:line="360" w:lineRule="auto" w:before="240" w:after="120"/>
        <w:outlineLvl w:val="1"/>
      </w:pPr>
      <w:r>
        <w:rPr>
          <w:rFonts w:ascii="Times New Roman" w:hAnsi="Times New Roman" w:eastAsia="宋体"/>
          <w:b/>
          <w:sz w:val="28"/>
        </w:rPr>
        <w:t>Declaration of generative AI and AI-assisted technologies in the writing process</w:t>
      </w:r>
    </w:p>
    <w:p>
      <w:pPr>
        <w:spacing w:line="480" w:lineRule="auto" w:before="0" w:after="0"/>
        <w:ind w:firstLine="720"/>
      </w:pPr>
      <w:r>
        <w:rPr>
          <w:rFonts w:ascii="Times New Roman" w:hAnsi="Times New Roman" w:eastAsia="宋体"/>
          <w:b w:val="0"/>
          <w:sz w:val="24"/>
        </w:rPr>
        <w:t>During the preparation of this work the author used large language model tools (GLM; Zhipu AI) in order to assist with software implementation, corpus curation support, and manuscript drafting. After using these tools, the author reviewed and edited all content as needed and takes full responsibility for the content of the published article. The evaluated system itself — including all reported benchmark results — additionally uses LLM components as an object of study, as described in Methods; all quantitative results were produced and verified by deterministic evaluation scripts.</w:t>
      </w:r>
    </w:p>
    <w:p>
      <w:pPr>
        <w:spacing w:line="360" w:lineRule="auto" w:before="240" w:after="120"/>
        <w:outlineLvl w:val="1"/>
      </w:pPr>
      <w:r>
        <w:rPr>
          <w:rFonts w:ascii="Times New Roman" w:hAnsi="Times New Roman" w:eastAsia="宋体"/>
          <w:b/>
          <w:sz w:val="28"/>
        </w:rPr>
        <w:t>References</w:t>
      </w:r>
    </w:p>
    <w:p>
      <w:pPr>
        <w:spacing w:line="480" w:lineRule="auto" w:before="0" w:after="0"/>
      </w:pPr>
      <w:r>
        <w:rPr>
          <w:rFonts w:ascii="Times New Roman" w:hAnsi="Times New Roman" w:eastAsia="宋体"/>
          <w:b w:val="0"/>
          <w:sz w:val="24"/>
        </w:rPr>
        <w:t>1. Bray F, Laversanne M, Sung H, et al. Global cancer statistics 2022: GLOBOCAN estimates of incidence and mortality worldwide for 36 cancers in 185 countries. CA A Cancer J Clinicians. 2024;74(3):229-263. https://doi.org/10.3322/caac.21834</w:t>
      </w:r>
    </w:p>
    <w:p>
      <w:pPr>
        <w:spacing w:line="480" w:lineRule="auto" w:before="0" w:after="0"/>
      </w:pPr>
      <w:r>
        <w:rPr>
          <w:rFonts w:ascii="Times New Roman" w:hAnsi="Times New Roman" w:eastAsia="宋体"/>
          <w:b w:val="0"/>
          <w:sz w:val="24"/>
        </w:rPr>
        <w:t>2. Cao W, Chen HD, Yu YW, Li N, Chen WQ. Changing profiles of cancer burden worldwide and in China: a secondary analysis of the global cancer statistics 2020. Chinese Medical Journal. 2021;134(7):783-791. https://doi.org/10.1097/cm9.0000000000001474</w:t>
      </w:r>
    </w:p>
    <w:p>
      <w:pPr>
        <w:spacing w:line="480" w:lineRule="auto" w:before="0" w:after="0"/>
      </w:pPr>
      <w:r>
        <w:rPr>
          <w:rFonts w:ascii="Times New Roman" w:hAnsi="Times New Roman" w:eastAsia="宋体"/>
          <w:b w:val="0"/>
          <w:sz w:val="24"/>
        </w:rPr>
        <w:t>3. Schröder FH, Hugosson J, Roobol MJ, et al. Prostate-Cancer Mortality at 11 Years of Follow-up. N Engl J Med. 2012;366(11):981-990. https://doi.org/10.1056/nejmoa1113135</w:t>
      </w:r>
    </w:p>
    <w:p>
      <w:pPr>
        <w:spacing w:line="480" w:lineRule="auto" w:before="0" w:after="0"/>
      </w:pPr>
      <w:r>
        <w:rPr>
          <w:rFonts w:ascii="Times New Roman" w:hAnsi="Times New Roman" w:eastAsia="宋体"/>
          <w:b w:val="0"/>
          <w:sz w:val="24"/>
        </w:rPr>
        <w:t>4. Tracy CR, Flynn KJ, Sjoberg DD, Gellhaus PT, Metz CM, Ehdaie B. Optimizing MRI-targeted prostate biopsy: the diagnostic benefit of additional targeted biopsy cores. Urologic Oncology: Seminars and Original Investigations. 2021;39(3):193.e1-193.e6. https://doi.org/10.1016/j.urolonc.2020.09.019</w:t>
      </w:r>
    </w:p>
    <w:p>
      <w:pPr>
        <w:spacing w:line="480" w:lineRule="auto" w:before="0" w:after="0"/>
      </w:pPr>
      <w:r>
        <w:rPr>
          <w:rFonts w:ascii="Times New Roman" w:hAnsi="Times New Roman" w:eastAsia="宋体"/>
          <w:b w:val="0"/>
          <w:sz w:val="24"/>
        </w:rPr>
        <w:t>5. Deng R, Shang J, Wu J, et al. A head-to-head comparison of sextant-systematic biopsy vs. extended-systematic biopsy for prostate cancer diagnosis in the era of MRI-targeted biopsy: SEXTANT-PRO non-inferiority randomized clinical trial. eClinicalMedicine. 2025;90:103630. https://doi.org/10.1016/j.eclinm.2025.103630</w:t>
      </w:r>
    </w:p>
    <w:p>
      <w:pPr>
        <w:spacing w:line="480" w:lineRule="auto" w:before="0" w:after="0"/>
      </w:pPr>
      <w:r>
        <w:rPr>
          <w:rFonts w:ascii="Times New Roman" w:hAnsi="Times New Roman" w:eastAsia="宋体"/>
          <w:b w:val="0"/>
          <w:sz w:val="24"/>
        </w:rPr>
        <w:t>6. Bryant RJ, Marian IR, Williams R, et al. Local anaesthetic transperineal biopsy versus transrectal prostate biopsy in prostate cancer detection (TRANSLATE): a multicentre, randomised, controlled trial. The Lancet Oncology. 2025;26(5):583-595. https://doi.org/10.1016/s1470-2045(25)00100-7</w:t>
      </w:r>
    </w:p>
    <w:p>
      <w:pPr>
        <w:spacing w:line="480" w:lineRule="auto" w:before="0" w:after="0"/>
      </w:pPr>
      <w:r>
        <w:rPr>
          <w:rFonts w:ascii="Times New Roman" w:hAnsi="Times New Roman" w:eastAsia="宋体"/>
          <w:b w:val="0"/>
          <w:sz w:val="24"/>
        </w:rPr>
        <w:t>7. Yang YJ, Yang EJ, Nguyen TT, Choi SY. Transperineal Versus Transrectal Prostate Biopsy: A Systematic Review and Meta-analysis of Randomized Controlled Trials Across Settings With and Without Magnetic Resonance Imaging Targeting. European Urology Open Science. 2026;83:205-218. https://doi.org/10.1016/j.euros.2025.12.008</w:t>
      </w:r>
    </w:p>
    <w:p>
      <w:pPr>
        <w:spacing w:line="480" w:lineRule="auto" w:before="0" w:after="0"/>
      </w:pPr>
      <w:r>
        <w:rPr>
          <w:rFonts w:ascii="Times New Roman" w:hAnsi="Times New Roman" w:eastAsia="宋体"/>
          <w:b w:val="0"/>
          <w:sz w:val="24"/>
        </w:rPr>
        <w:t>8. Liss MA, Kim W, Moskowitz D, Szabo RJ. Comparative Effectiveness of Targeted vs Empirical Antibiotic Prophylaxis to Prevent Sepsis from Transrectal Prostate Biopsy: A Retrospective Analysis. Journal of Urology. 2015;194(2):397-402. https://doi.org/10.1016/j.juro.2015.03.110</w:t>
      </w:r>
    </w:p>
    <w:p>
      <w:pPr>
        <w:spacing w:line="480" w:lineRule="auto" w:before="0" w:after="0"/>
      </w:pPr>
      <w:r>
        <w:rPr>
          <w:rFonts w:ascii="Times New Roman" w:hAnsi="Times New Roman" w:eastAsia="宋体"/>
          <w:b w:val="0"/>
          <w:sz w:val="24"/>
        </w:rPr>
        <w:t>9. Ahdoot M, Wilbur AR, Reese SE, et al. MRI-Targeted, Systematic, and Combined Biopsy for Prostate Cancer Diagnosis. N Engl J Med. 2020;382(10):917-928. https://doi.org/10.1056/nejmoa1910038</w:t>
      </w:r>
    </w:p>
    <w:p>
      <w:pPr>
        <w:spacing w:line="480" w:lineRule="auto" w:before="0" w:after="0"/>
      </w:pPr>
      <w:r>
        <w:rPr>
          <w:rFonts w:ascii="Times New Roman" w:hAnsi="Times New Roman" w:eastAsia="宋体"/>
          <w:b w:val="0"/>
          <w:sz w:val="24"/>
        </w:rPr>
        <w:t>10. Klotz L, Chin J, Black PC, et al. Comparison of Multiparametric Magnetic Resonance Imaging–Targeted Biopsy With Systematic Transrectal Ultrasonography Biopsy for Biopsy-Naive Men at Risk for Prostate Cancer: A Phase 3 Randomized Clinical Trial. JAMA Oncol. 2021;7(4):534. https://doi.org/10.1001/jamaoncol.2020.7589</w:t>
      </w:r>
    </w:p>
    <w:p>
      <w:pPr>
        <w:spacing w:line="480" w:lineRule="auto" w:before="0" w:after="0"/>
      </w:pPr>
      <w:r>
        <w:rPr>
          <w:rFonts w:ascii="Times New Roman" w:hAnsi="Times New Roman" w:eastAsia="宋体"/>
          <w:b w:val="0"/>
          <w:sz w:val="24"/>
        </w:rPr>
        <w:t>11. Elkhoury FF, Felker ER, Kwan L, et al. Comparison of Targeted vs Systematic Prostate Biopsy in Men Who Are Biopsy Naive: The Prospective Assessment of Image Registration in the Diagnosis of Prostate Cancer (PAIREDCAP) Study. JAMA Surg. 2019;154(9):811. https://doi.org/10.1001/jamasurg.2019.1734</w:t>
      </w:r>
    </w:p>
    <w:p>
      <w:pPr>
        <w:spacing w:line="480" w:lineRule="auto" w:before="0" w:after="0"/>
      </w:pPr>
      <w:r>
        <w:rPr>
          <w:rFonts w:ascii="Times New Roman" w:hAnsi="Times New Roman" w:eastAsia="宋体"/>
          <w:b w:val="0"/>
          <w:sz w:val="24"/>
        </w:rPr>
        <w:t>12. Costa DN, Goldberg K, Leon ADD, et al. Magnetic Resonance Imaging–guided In-bore and Magnetic Resonance Imaging-transrectal Ultrasound Fusion Targeted Prostate Biopsies: An Adjusted Comparison of Clinically Significant Prostate Cancer Detection Rate. European Urology Oncology. 2019;2(4):397-404. https://doi.org/10.1016/j.euo.2018.08.022</w:t>
      </w:r>
    </w:p>
    <w:p>
      <w:pPr>
        <w:spacing w:line="480" w:lineRule="auto" w:before="0" w:after="0"/>
      </w:pPr>
      <w:r>
        <w:rPr>
          <w:rFonts w:ascii="Times New Roman" w:hAnsi="Times New Roman" w:eastAsia="宋体"/>
          <w:b w:val="0"/>
          <w:sz w:val="24"/>
        </w:rPr>
        <w:t>13. Epstein JI, Feng Z, Trock BJ, Pierorazio PM. Upgrading and Downgrading of Prostate Cancer from Biopsy to Radical Prostatectomy: Incidence and Predictive Factors Using the Modified Gleason Grading System and Factoring in Tertiary Grades. European Urology. 2012;61(5):1019-1024. https://doi.org/10.1016/j.eururo.2012.01.050</w:t>
      </w:r>
    </w:p>
    <w:p>
      <w:pPr>
        <w:spacing w:line="480" w:lineRule="auto" w:before="0" w:after="0"/>
      </w:pPr>
      <w:r>
        <w:rPr>
          <w:rFonts w:ascii="Times New Roman" w:hAnsi="Times New Roman" w:eastAsia="宋体"/>
          <w:b w:val="0"/>
          <w:sz w:val="24"/>
        </w:rPr>
        <w:t>14. Ahmed HU, El-Shater Bosaily A, Brown LC, et al. Diagnostic accuracy of multi-parametric MRI and TRUS biopsy in prostate cancer (PROMIS): a paired validating confirmatory study. The Lancet. 2017;389(10071):815-822. https://doi.org/10.1016/s0140-6736(16)32401-1</w:t>
      </w:r>
    </w:p>
    <w:p>
      <w:pPr>
        <w:spacing w:line="480" w:lineRule="auto" w:before="0" w:after="0"/>
      </w:pPr>
      <w:r>
        <w:rPr>
          <w:rFonts w:ascii="Times New Roman" w:hAnsi="Times New Roman" w:eastAsia="宋体"/>
          <w:b w:val="0"/>
          <w:sz w:val="24"/>
        </w:rPr>
        <w:t>15. Turkbey B, Rosenkrantz AB, Haider MA, et al. Prostate Imaging Reporting and Data System Version 2.1: 2019 Update of Prostate Imaging Reporting and Data System Version 2. European Urology. 2019;76(3):340-351. https://doi.org/10.1016/j.eururo.2019.02.033</w:t>
      </w:r>
    </w:p>
    <w:p>
      <w:pPr>
        <w:spacing w:line="480" w:lineRule="auto" w:before="0" w:after="0"/>
      </w:pPr>
      <w:r>
        <w:rPr>
          <w:rFonts w:ascii="Times New Roman" w:hAnsi="Times New Roman" w:eastAsia="宋体"/>
          <w:b w:val="0"/>
          <w:sz w:val="24"/>
        </w:rPr>
        <w:t>16. Park KJ, Choi SH, Lee JS, Kim JK, Kim MH. Interreader Agreement with Prostate Imaging Reporting and Data System Version 2 for Prostate Cancer Detection: A Systematic Review and Meta-Analysis. Journal of Urology. 2020;204(4):661-670. https://doi.org/10.1097/ju.0000000000001200</w:t>
      </w:r>
    </w:p>
    <w:p>
      <w:pPr>
        <w:spacing w:line="480" w:lineRule="auto" w:before="0" w:after="0"/>
      </w:pPr>
      <w:r>
        <w:rPr>
          <w:rFonts w:ascii="Times New Roman" w:hAnsi="Times New Roman" w:eastAsia="宋体"/>
          <w:b w:val="0"/>
          <w:sz w:val="24"/>
        </w:rPr>
        <w:t>17. Giganti F, Allen C, Emberton M, Moore CM, Kasivisvanathan V. Prostate Imaging Quality (PI-QUAL): A New Quality Control Scoring System for Multiparametric Magnetic Resonance Imaging of the Prostate from the PRECISION trial. European Urology Oncology. 2020;3(5):615-619. https://doi.org/10.1016/j.euo.2020.06.007</w:t>
      </w:r>
    </w:p>
    <w:p>
      <w:pPr>
        <w:spacing w:line="480" w:lineRule="auto" w:before="0" w:after="0"/>
      </w:pPr>
      <w:r>
        <w:rPr>
          <w:rFonts w:ascii="Times New Roman" w:hAnsi="Times New Roman" w:eastAsia="宋体"/>
          <w:b w:val="0"/>
          <w:sz w:val="24"/>
        </w:rPr>
        <w:t>18. Yusim I, Krenawi M, Mazor E, Novack V, Mabjeesh NJ. The use of prostate specific antigen density to predict clinically significant prostate cancer. Sci Rep. 2020;10(1):20015. https://doi.org/10.1038/s41598-020-76786-9</w:t>
      </w:r>
    </w:p>
    <w:p>
      <w:pPr>
        <w:spacing w:line="480" w:lineRule="auto" w:before="0" w:after="0"/>
      </w:pPr>
      <w:r>
        <w:rPr>
          <w:rFonts w:ascii="Times New Roman" w:hAnsi="Times New Roman" w:eastAsia="宋体"/>
          <w:b w:val="0"/>
          <w:sz w:val="24"/>
        </w:rPr>
        <w:t>19. Loeb S, Vellekoop A, Ahmed HU, et al. Systematic Review of Complications of Prostate Biopsy. European Urology. 2013;64(6):876-892. https://doi.org/10.1016/j.eururo.2013.05.049</w:t>
      </w:r>
    </w:p>
    <w:p>
      <w:pPr>
        <w:spacing w:line="480" w:lineRule="auto" w:before="0" w:after="0"/>
      </w:pPr>
      <w:r>
        <w:rPr>
          <w:rFonts w:ascii="Times New Roman" w:hAnsi="Times New Roman" w:eastAsia="宋体"/>
          <w:b w:val="0"/>
          <w:sz w:val="24"/>
        </w:rPr>
        <w:t>20. Nam RK, Saskin R, Lee Y, et al. Increasing Hospital Admission Rates for Urological Complications After Transrectal Ultrasound Guided Prostate Biopsy. Journal of Urology. 2010;183(3):963-969. https://doi.org/10.1016/j.juro.2009.11.043</w:t>
      </w:r>
    </w:p>
    <w:p>
      <w:pPr>
        <w:spacing w:line="480" w:lineRule="auto" w:before="0" w:after="0"/>
      </w:pPr>
      <w:r>
        <w:rPr>
          <w:rFonts w:ascii="Times New Roman" w:hAnsi="Times New Roman" w:eastAsia="宋体"/>
          <w:b w:val="0"/>
          <w:sz w:val="24"/>
        </w:rPr>
        <w:t>21. Chernysheva D, Di Bello F, Avesani G, et al. ProBIOPSY: A Multidisciplinary International Consensus on Standards for Prostate Biopsy. European Urology. 2026;90(3):212-224. https://doi.org/10.1016/j.eururo.2026.06.012</w:t>
      </w:r>
    </w:p>
    <w:p>
      <w:pPr>
        <w:spacing w:line="480" w:lineRule="auto" w:before="0" w:after="0"/>
      </w:pPr>
      <w:r>
        <w:rPr>
          <w:rFonts w:ascii="Times New Roman" w:hAnsi="Times New Roman" w:eastAsia="宋体"/>
          <w:b w:val="0"/>
          <w:sz w:val="24"/>
        </w:rPr>
        <w:t>22. European Association of Urology. EAU Guidelines on Prostate Cancer. Arnhem: European Association of Urology; 2026. https://uroweb.org/guidelines/prostate-cancer (living guideline, accessed September 2026).</w:t>
      </w:r>
    </w:p>
    <w:p>
      <w:pPr>
        <w:spacing w:line="480" w:lineRule="auto" w:before="0" w:after="0"/>
      </w:pPr>
      <w:r>
        <w:rPr>
          <w:rFonts w:ascii="Times New Roman" w:hAnsi="Times New Roman" w:eastAsia="宋体"/>
          <w:b w:val="0"/>
          <w:sz w:val="24"/>
        </w:rPr>
        <w:t>23. Eastham JA, Auffenberg GB, Barocas DA, et al. Clinically Localized Prostate Cancer: AUA/ASTRO Guideline, Part I: Introduction, Risk Assessment, Staging, and Risk-Based Management. Journal of Urology. 2022;208(1):10-18. https://doi.org/10.1097/ju.0000000000002757</w:t>
      </w:r>
    </w:p>
    <w:p>
      <w:pPr>
        <w:spacing w:line="480" w:lineRule="auto" w:before="0" w:after="0"/>
      </w:pPr>
      <w:r>
        <w:rPr>
          <w:rFonts w:ascii="Times New Roman" w:hAnsi="Times New Roman" w:eastAsia="宋体"/>
          <w:b w:val="0"/>
          <w:sz w:val="24"/>
        </w:rPr>
        <w:t>24. Eastham JA, Barocas DA, Chu CE, et al. Clinically Localized Prostate Cancer: AUA/ASTRO Guideline Amendment (2026). J Urol. 2026;216(1):2-11. https://doi.org/10.1097/ju.0000000000005060</w:t>
      </w:r>
    </w:p>
    <w:p>
      <w:pPr>
        <w:spacing w:line="480" w:lineRule="auto" w:before="0" w:after="0"/>
      </w:pPr>
      <w:r>
        <w:rPr>
          <w:rFonts w:ascii="Times New Roman" w:hAnsi="Times New Roman" w:eastAsia="宋体"/>
          <w:b w:val="0"/>
          <w:sz w:val="24"/>
        </w:rPr>
        <w:t>25. Hao S, Chai C, Li G, Tang N, Wang N, Yu X. Outdated Fact Detection in Knowledge Bases. In: 2020 IEEE 36th International Conference on Data Engineering (ICDE). IEEE; 2020:1890-1893. https://doi.org/10.1109/icde48307.2020.00196</w:t>
      </w:r>
    </w:p>
    <w:p>
      <w:pPr>
        <w:spacing w:line="480" w:lineRule="auto" w:before="0" w:after="0"/>
      </w:pPr>
      <w:r>
        <w:rPr>
          <w:rFonts w:ascii="Times New Roman" w:hAnsi="Times New Roman" w:eastAsia="宋体"/>
          <w:b w:val="0"/>
          <w:sz w:val="24"/>
        </w:rPr>
        <w:t>26. Ray CE, Wilson GM, Hughes AM, et al. Alert fatigue measurement in clinical decision support: a systematic review. Journal of the American Medical Informatics Association. 2026;33(8):1523-1531. https://doi.org/10.1093/jamia/ocag064</w:t>
      </w:r>
    </w:p>
    <w:p>
      <w:pPr>
        <w:spacing w:line="480" w:lineRule="auto" w:before="0" w:after="0"/>
      </w:pPr>
      <w:r>
        <w:rPr>
          <w:rFonts w:ascii="Times New Roman" w:hAnsi="Times New Roman" w:eastAsia="宋体"/>
          <w:b w:val="0"/>
          <w:sz w:val="24"/>
        </w:rPr>
        <w:t>27. Sutton RT, Pincock D, Baumgart DC, Sadowski DC, Fedorak RN, Kroeker KI. An overview of clinical decision support systems: benefits, risks, and strategies for success. npj Digit. Med. 2020;3(1):17. https://doi.org/10.1038/s41746-020-0221-y</w:t>
      </w:r>
    </w:p>
    <w:p>
      <w:pPr>
        <w:spacing w:line="480" w:lineRule="auto" w:before="0" w:after="0"/>
      </w:pPr>
      <w:r>
        <w:rPr>
          <w:rFonts w:ascii="Times New Roman" w:hAnsi="Times New Roman" w:eastAsia="宋体"/>
          <w:b w:val="0"/>
          <w:sz w:val="24"/>
        </w:rPr>
        <w:t>28. Rajpurkar P, Chen E, Banerjee O, Topol EJ. AI in health and medicine. Nat Med. 2022;28(1):31-38. https://doi.org/10.1038/s41591-021-01614-0</w:t>
      </w:r>
    </w:p>
    <w:p>
      <w:pPr>
        <w:spacing w:line="480" w:lineRule="auto" w:before="0" w:after="0"/>
      </w:pPr>
      <w:r>
        <w:rPr>
          <w:rFonts w:ascii="Times New Roman" w:hAnsi="Times New Roman" w:eastAsia="宋体"/>
          <w:b w:val="0"/>
          <w:sz w:val="24"/>
        </w:rPr>
        <w:t>29. Thirunavukarasu AJ, Ting DSJ, Elangovan K, Gutierrez L, Tan TF, Ting DSW. Large language models in medicine. Nat Med. 2023;29(8):1930-1940. https://doi.org/10.1038/s41591-023-02448-8</w:t>
      </w:r>
    </w:p>
    <w:p>
      <w:pPr>
        <w:spacing w:line="480" w:lineRule="auto" w:before="0" w:after="0"/>
      </w:pPr>
      <w:r>
        <w:rPr>
          <w:rFonts w:ascii="Times New Roman" w:hAnsi="Times New Roman" w:eastAsia="宋体"/>
          <w:b w:val="0"/>
          <w:sz w:val="24"/>
        </w:rPr>
        <w:t>30. Singhal K, Azizi S, Tu T, et al. Large language models encode clinical knowledge. Nature. 2023;620(7972):172-180. https://doi.org/10.1038/s41586-023-06291-2</w:t>
      </w:r>
    </w:p>
    <w:p>
      <w:pPr>
        <w:spacing w:line="480" w:lineRule="auto" w:before="0" w:after="0"/>
      </w:pPr>
      <w:r>
        <w:rPr>
          <w:rFonts w:ascii="Times New Roman" w:hAnsi="Times New Roman" w:eastAsia="宋体"/>
          <w:b w:val="0"/>
          <w:sz w:val="24"/>
        </w:rPr>
        <w:t>31. Singhal K, Tu T, Gottweis J, et al. Toward expert-level medical question answering with large language models. Nat Med. 2025;31(3):943-950. https://doi.org/10.1038/s41591-024-03423-7</w:t>
      </w:r>
    </w:p>
    <w:p>
      <w:pPr>
        <w:spacing w:line="480" w:lineRule="auto" w:before="0" w:after="0"/>
      </w:pPr>
      <w:r>
        <w:rPr>
          <w:rFonts w:ascii="Times New Roman" w:hAnsi="Times New Roman" w:eastAsia="宋体"/>
          <w:b w:val="0"/>
          <w:sz w:val="24"/>
        </w:rPr>
        <w:t>32. Ji Z, Lee N, Frieske R, et al. Survey of Hallucination in Natural Language Generation. ACM Comput. Surv. 2023;55(12):1-38. https://doi.org/10.1145/3571730</w:t>
      </w:r>
    </w:p>
    <w:p>
      <w:pPr>
        <w:spacing w:line="480" w:lineRule="auto" w:before="0" w:after="0"/>
      </w:pPr>
      <w:r>
        <w:rPr>
          <w:rFonts w:ascii="Times New Roman" w:hAnsi="Times New Roman" w:eastAsia="宋体"/>
          <w:b w:val="0"/>
          <w:sz w:val="24"/>
        </w:rPr>
        <w:t>33. Fast D, Adams LC, Busch F, et al. Autonomous medical evaluation for guideline adherence of large language models. npj Digit. Med. 2024;7(1):358. https://doi.org/10.1038/s41746-024-01356-6</w:t>
      </w:r>
    </w:p>
    <w:p>
      <w:pPr>
        <w:spacing w:line="480" w:lineRule="auto" w:before="0" w:after="0"/>
      </w:pPr>
      <w:r>
        <w:rPr>
          <w:rFonts w:ascii="Times New Roman" w:hAnsi="Times New Roman" w:eastAsia="宋体"/>
          <w:b w:val="0"/>
          <w:sz w:val="24"/>
        </w:rPr>
        <w:t>34. Wang Y, Peng C, Hu R, et al. A knowledge-enhanced domain-aware large language model agent for atrial fibrillation management. npj Digit. Med. 2026. https://doi.org/10.1038/s41746-026-03038-x</w:t>
      </w:r>
    </w:p>
    <w:p>
      <w:pPr>
        <w:spacing w:line="480" w:lineRule="auto" w:before="0" w:after="0"/>
      </w:pPr>
      <w:r>
        <w:rPr>
          <w:rFonts w:ascii="Times New Roman" w:hAnsi="Times New Roman" w:eastAsia="宋体"/>
          <w:b w:val="0"/>
          <w:sz w:val="24"/>
        </w:rPr>
        <w:t>35. Wang Y, Tan W, Cheng S, et al. Large Language Model Agent for Managing Patients With Suspected Hypertension. Hypertension. 2026;83(1):212-224. https://doi.org/10.1161/hypertensionaha.125.25305</w:t>
      </w:r>
    </w:p>
    <w:p>
      <w:pPr>
        <w:spacing w:line="480" w:lineRule="auto" w:before="0" w:after="0"/>
      </w:pPr>
      <w:r>
        <w:rPr>
          <w:rFonts w:ascii="Times New Roman" w:hAnsi="Times New Roman" w:eastAsia="宋体"/>
          <w:b w:val="0"/>
          <w:sz w:val="24"/>
        </w:rPr>
        <w:t>36. Hao Y, Holmes J, Waddle MR, et al. Personalizing prostate cancer education for patients using an EHR-Integrated LLM agent. npj Digit. Med. 2025;8(1):770. https://doi.org/10.1038/s41746-025-02166-0</w:t>
      </w:r>
    </w:p>
    <w:p>
      <w:pPr>
        <w:spacing w:line="480" w:lineRule="auto" w:before="0" w:after="0"/>
      </w:pPr>
      <w:r>
        <w:rPr>
          <w:rFonts w:ascii="Times New Roman" w:hAnsi="Times New Roman" w:eastAsia="宋体"/>
          <w:b w:val="0"/>
          <w:sz w:val="24"/>
        </w:rPr>
        <w:t>37. Sha H, Gong F, Liu B, Liu R, Wang H, Wu T. Leveraging Retrieval-Augmented Large Language Models for Dietary Recommendations With Traditional Chinese Medicine’s Medicine Food Homology: Algorithm Development and Validation. JMIR Med Inform. 2025;13:e75279-e75279. https://doi.org/10.2196/75279</w:t>
      </w:r>
    </w:p>
    <w:p>
      <w:pPr>
        <w:spacing w:line="480" w:lineRule="auto" w:before="0" w:after="0"/>
      </w:pPr>
      <w:r>
        <w:rPr>
          <w:rFonts w:ascii="Times New Roman" w:hAnsi="Times New Roman" w:eastAsia="宋体"/>
          <w:b w:val="0"/>
          <w:sz w:val="24"/>
        </w:rPr>
        <w:t>38. Wang Z, Jin Q, Wei CH, et al. GeneAgent: self-verification language agent for gene-set analysis using domain databases. Nat Methods. 2025;22(8):1677-1685. https://doi.org/10.1038/s41592-025-02748-6</w:t>
      </w:r>
    </w:p>
    <w:p>
      <w:pPr>
        <w:spacing w:line="480" w:lineRule="auto" w:before="0" w:after="0"/>
      </w:pPr>
      <w:r>
        <w:rPr>
          <w:rFonts w:ascii="Times New Roman" w:hAnsi="Times New Roman" w:eastAsia="宋体"/>
          <w:b w:val="0"/>
          <w:sz w:val="24"/>
        </w:rPr>
        <w:t>39. Lewis P, Perez E, Piktus A, et al. Retrieval-augmented generation for knowledge-intensive NLP tasks. Adv Neural Inf Process Syst. 2020;33:9459-74. arXiv:2005.11401 (verified via arXiv API).</w:t>
      </w:r>
    </w:p>
    <w:p>
      <w:pPr>
        <w:spacing w:line="480" w:lineRule="auto" w:before="0" w:after="0"/>
      </w:pPr>
      <w:r>
        <w:rPr>
          <w:rFonts w:ascii="Times New Roman" w:hAnsi="Times New Roman" w:eastAsia="宋体"/>
          <w:b w:val="0"/>
          <w:sz w:val="24"/>
        </w:rPr>
        <w:t>40. Xiong G, Jin Q, Lu Z, Zhang A. Benchmarking Retrieval-Augmented Generation for Medicine. Findings of the Association for Computational Linguistics ACL 2024. 2024:6233-6251. https://doi.org/10.18653/v1/2024.findings-acl.372</w:t>
      </w:r>
    </w:p>
    <w:p>
      <w:pPr>
        <w:spacing w:line="480" w:lineRule="auto" w:before="0" w:after="0"/>
      </w:pPr>
      <w:r>
        <w:rPr>
          <w:rFonts w:ascii="Times New Roman" w:hAnsi="Times New Roman" w:eastAsia="宋体"/>
          <w:b w:val="0"/>
          <w:sz w:val="24"/>
        </w:rPr>
        <w:t>41. Pan S, Luo L, Wang Y, Chen C, Wang J, Wu X. Unifying Large Language Models and Knowledge Graphs: A Roadmap. IEEE Trans. Knowl. Data Eng. 2024;36(7):3580-3599. https://doi.org/10.1109/tkde.2024.3352100</w:t>
      </w:r>
    </w:p>
    <w:p>
      <w:pPr>
        <w:spacing w:line="480" w:lineRule="auto" w:before="0" w:after="0"/>
      </w:pPr>
      <w:r>
        <w:rPr>
          <w:rFonts w:ascii="Times New Roman" w:hAnsi="Times New Roman" w:eastAsia="宋体"/>
          <w:b w:val="0"/>
          <w:sz w:val="24"/>
        </w:rPr>
        <w:t>42. Epstein JI, Amin MB, Reuter VE, Humphrey PA. Contemporary Gleason Grading of Prostatic Carcinoma: An Update With Discussion on Practical Issues to Implement the 2014 International Society of Urological Pathology (ISUP) Consensus Conference on Gleason Grading of Prostatic Carcinoma. American Journal of Surgical Pathology. 2017;41(4):e1-e7. https://doi.org/10.1097/pas.0000000000000820</w:t>
      </w:r>
    </w:p>
    <w:p>
      <w:pPr>
        <w:spacing w:line="480" w:lineRule="auto" w:before="0" w:after="0"/>
      </w:pPr>
      <w:r>
        <w:rPr>
          <w:rFonts w:ascii="Times New Roman" w:hAnsi="Times New Roman" w:eastAsia="宋体"/>
          <w:b w:val="0"/>
          <w:sz w:val="24"/>
        </w:rPr>
        <w:t>43. Guo Z, Xia L, Yu Y, Ao T, Huang C. LightRAG: simple and fast retrieval-augmented generation. arXiv:2410.05779, 2024 (verified against arXiv listing).</w:t>
      </w:r>
    </w:p>
    <w:p>
      <w:pPr>
        <w:spacing w:line="480" w:lineRule="auto" w:before="0" w:after="0"/>
      </w:pPr>
      <w:r>
        <w:rPr>
          <w:rFonts w:ascii="Times New Roman" w:hAnsi="Times New Roman" w:eastAsia="宋体"/>
          <w:b w:val="0"/>
          <w:sz w:val="24"/>
        </w:rPr>
        <w:t>44. Borghesi M, Ahmed H, Nam R, et al. Complications After Systematic, Random, and Image-guided Prostate Biopsy. European Urology. 2017;71(3):353-365. https://doi.org/10.1016/j.eururo.2016.08.004</w:t>
      </w:r>
    </w:p>
    <w:p>
      <w:pPr>
        <w:spacing w:line="480" w:lineRule="auto" w:before="0" w:after="0"/>
      </w:pPr>
      <w:r>
        <w:rPr>
          <w:rFonts w:ascii="Times New Roman" w:hAnsi="Times New Roman" w:eastAsia="宋体"/>
          <w:b w:val="0"/>
          <w:sz w:val="24"/>
        </w:rPr>
        <w:t>45. Morote J, Schwartzmann I, Celma A, et al. The current recommendation for the management of isolated high‐grade prostatic intraepithelial neoplasia. BJU International. 2021;129(5):627-633. https://doi.org/10.1111/bju.15568</w:t>
      </w:r>
    </w:p>
    <w:p>
      <w:pPr>
        <w:spacing w:line="480" w:lineRule="auto" w:before="0" w:after="0"/>
      </w:pPr>
      <w:r>
        <w:rPr>
          <w:rFonts w:ascii="Times New Roman" w:hAnsi="Times New Roman" w:eastAsia="宋体"/>
          <w:b w:val="0"/>
          <w:sz w:val="24"/>
        </w:rPr>
        <w:t>46. Ji WT, Jin XF, Wang Y. The Rate of Clinically Significant Prostate Cancer on Repeat Biopsy after a Diagnosis of Atypical Small Acinar Proliferation: A Systematic Review and Meta-Analysis. Oncology. 2023;102(7):631-640. https://doi.org/10.1159/000535123</w:t>
      </w:r>
    </w:p>
    <w:p>
      <w:pPr>
        <w:spacing w:line="480" w:lineRule="auto" w:before="0" w:after="0"/>
      </w:pPr>
      <w:r>
        <w:rPr>
          <w:rFonts w:ascii="Times New Roman" w:hAnsi="Times New Roman" w:eastAsia="宋体"/>
          <w:b w:val="0"/>
          <w:sz w:val="24"/>
        </w:rPr>
        <w:t>47. Cohen J. A Coefficient of Agreement for Nominal Scales. Educational and Psychological Measurement. 1960;20(1):37-46. https://doi.org/10.1177/001316446002000104</w:t>
      </w:r>
    </w:p>
    <w:p>
      <w:pPr>
        <w:spacing w:line="480" w:lineRule="auto" w:before="0" w:after="0"/>
      </w:pPr>
      <w:r>
        <w:rPr>
          <w:rFonts w:ascii="Times New Roman" w:hAnsi="Times New Roman" w:eastAsia="宋体"/>
          <w:b w:val="0"/>
          <w:sz w:val="24"/>
        </w:rPr>
        <w:t>48. Benjamini Y, Hochberg Y. Controlling the False Discovery Rate: A Practical and Powerful Approach to Multiple Testing. Journal of the Royal Statistical Society Series B: Statistical Methodology. 1995;57(1):289-300. https://doi.org/10.1111/j.2517-6161.1995.tb02031.x</w:t>
      </w:r>
    </w:p>
    <w:p>
      <w:pPr>
        <w:spacing w:line="480" w:lineRule="auto" w:before="0" w:after="0"/>
      </w:pPr>
      <w:r>
        <w:rPr>
          <w:rFonts w:ascii="Times New Roman" w:hAnsi="Times New Roman" w:eastAsia="宋体"/>
          <w:b w:val="0"/>
          <w:sz w:val="24"/>
        </w:rPr>
        <w:t>49. Fleiss JL. Measuring nominal scale agreement among many raters.. Psychological Bulletin. 1971;76(5):378-382. https://doi.org/10.1037/h0031619</w:t>
      </w:r>
    </w:p>
    <w:p>
      <w:pPr>
        <w:spacing w:line="480" w:lineRule="auto" w:before="0" w:after="0"/>
      </w:pPr>
      <w:r>
        <w:rPr>
          <w:rFonts w:ascii="Times New Roman" w:hAnsi="Times New Roman" w:eastAsia="宋体"/>
          <w:b w:val="0"/>
          <w:sz w:val="24"/>
        </w:rPr>
        <w:t>50. Feinstein AR, Cicchetti DV. High agreement but low Kappa: I. the problems of two paradoxes. Journal of Clinical Epidemiology. 1990;43(6):543-549. https://doi.org/10.1016/0895-4356(90)90158-l</w:t>
      </w:r>
    </w:p>
    <w:p>
      <w:pPr>
        <w:spacing w:line="480" w:lineRule="auto" w:before="0" w:after="0"/>
      </w:pPr>
      <w:r>
        <w:rPr>
          <w:rFonts w:ascii="Times New Roman" w:hAnsi="Times New Roman" w:eastAsia="宋体"/>
          <w:b w:val="0"/>
          <w:sz w:val="24"/>
        </w:rPr>
        <w:t>51. Ayers JW, Poliak A, Dredze M, et al. Comparing Physician and Artificial Intelligence Chatbot Responses to Patient Questions Posted to a Public Social Media Forum. JAMA Intern Med. 2023;183(6):589. https://doi.org/10.1001/jamainternmed.2023.1838</w:t>
      </w:r>
    </w:p>
    <w:p>
      <w:pPr>
        <w:spacing w:line="480" w:lineRule="auto" w:before="0" w:after="0"/>
      </w:pPr>
      <w:r>
        <w:rPr>
          <w:rFonts w:ascii="Times New Roman" w:hAnsi="Times New Roman" w:eastAsia="宋体"/>
          <w:b w:val="0"/>
          <w:sz w:val="24"/>
        </w:rPr>
        <w:t>52. Edge D, Trinh H, Cheng N, et al. From local to global: a Graph RAG approach to query-focused summarization. arXiv:2404.16130, 2024 (verified via arXiv API).</w:t>
      </w:r>
    </w:p>
    <w:p>
      <w:pPr>
        <w:spacing w:line="480" w:lineRule="auto" w:before="0" w:after="0"/>
      </w:pPr>
      <w:r>
        <w:rPr>
          <w:rFonts w:ascii="Times New Roman" w:hAnsi="Times New Roman" w:eastAsia="宋体"/>
          <w:b w:val="0"/>
          <w:sz w:val="24"/>
        </w:rPr>
        <w:t>53. Vasey B, Nagendran M, Campbell B, et al. Reporting guideline for the early stage clinical evaluation of decision support systems driven by artificial intelligence: DECIDE-AI. BMJ. 2022;377:e070904. https://doi.org/10.1136/bmj-2022-070904</w:t>
      </w:r>
    </w:p>
    <w:p>
      <w:pPr>
        <w:spacing w:line="480" w:lineRule="auto" w:before="0" w:after="0"/>
      </w:pPr>
      <w:r>
        <w:rPr>
          <w:rFonts w:ascii="Times New Roman" w:hAnsi="Times New Roman" w:eastAsia="宋体"/>
          <w:b w:val="0"/>
          <w:sz w:val="24"/>
        </w:rPr>
        <w:t>54. Collins GS, Moons KGM, Dhiman P, et al. TRIPOD+AI statement: updated guidance for reporting clinical prediction models that use regression or machine learning methods. BMJ. 2024;385:e078378. https://doi.org/10.1136/bmj-2023-078378</w:t>
      </w:r>
    </w:p>
    <w:p>
      <w:pPr>
        <w:spacing w:line="480" w:lineRule="auto" w:before="0" w:after="0"/>
      </w:pPr>
      <w:r>
        <w:rPr>
          <w:rFonts w:ascii="Times New Roman" w:hAnsi="Times New Roman" w:eastAsia="宋体"/>
          <w:b w:val="0"/>
          <w:sz w:val="24"/>
        </w:rPr>
        <w:t>55. Al-Khanaty A, Hennes D, Hofman MS, et al. Avoiding Prostate Biopsy in Early Prostate Cancer Detection: From Liquid Biopsy to PSMA-PET. European Urology Focus. 2026. https://doi.org/10.1016/j.euf.2026.05.019</w:t>
      </w:r>
    </w:p>
    <w:p>
      <w:pPr>
        <w:spacing w:line="480" w:lineRule="auto" w:before="0" w:after="0"/>
      </w:pPr>
      <w:r>
        <w:rPr>
          <w:rFonts w:ascii="Times New Roman" w:hAnsi="Times New Roman" w:eastAsia="宋体"/>
          <w:b w:val="0"/>
          <w:sz w:val="24"/>
        </w:rPr>
        <w:t>56. XU Z. QianLieAnHui (probiopsy-rag): a hybrid rule-engine, knowledge-graph, and LLM-arbitration decision-support system for the prostate biopsy pathway, validated against the ProBIOPSY consensus [software, version v1.0.1]. Zenodo. 2026. https://doi.org/10.5281/zenodo.22898439 (verified via DataCite API).</w:t>
      </w:r>
    </w:p>
    <w:sectPr w:rsidR="00FC693F" w:rsidRPr="0006063C" w:rsidSect="00034616">
      <w:pgSz w:w="11906" w:h="16838"/>
      <w:pgMar w:top="1440" w:right="1797" w:bottom="1440" w:left="1797"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