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system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system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248 / main text ~3,300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decisions must weigh patient-specific MRI quality, biopsy scheme, route, prophylaxis, and treatment-planning needs. The ProBIOPSY consensus (112 final statements) codifies this pathway but is not an executable decision artifact. Large language models (LLMs) hallucinate and lack traceability; retrieval-augmented generation (RAG) mitigates hallucination but provides no deterministic safety guarantees.</w:t>
      </w:r>
    </w:p>
    <w:p>
      <w:r>
        <w:rPr>
          <w:rFonts w:ascii="Times New Roman" w:hAnsi="Times New Roman"/>
          <w:b/>
          <w:i w:val="0"/>
        </w:rPr>
        <w:t>Methods:</w:t>
      </w:r>
      <w:r>
        <w:rPr>
          <w:rFonts w:ascii="Times New Roman" w:hAnsi="Times New Roman"/>
          <w:b w:val="0"/>
          <w:i w:val="0"/>
        </w:rPr>
        <w:t xml:space="preserve"> We developed QianLieAnHui, a three-layer hybrid: (1) a deterministic rule engine (12 consensus + 4 patient-factor escalation rules) emitting hard constraints; (2) risk-guided retrieval over a LightRAG knowledge graph (357 evidence chunks, 1,864 entities, 3,078 relations, traceable to the consensus); (3) an LLM arbiter emitting one of five executable actions with statement-level citations. Four methods × five seeds × 112 statements (2,240 runs) were benchmarked with one fixed generator (GLM-5.3-Flash), isolating architectural contributions; baselines were re-run with flagship GLM-5.3 (1,120 runs).</w:t>
      </w:r>
    </w:p>
    <w:p>
      <w:r>
        <w:rPr>
          <w:rFonts w:ascii="Times New Roman" w:hAnsi="Times New Roman"/>
          <w:b/>
          <w:i w:val="0"/>
        </w:rPr>
        <w:t>Results:</w:t>
      </w:r>
      <w:r>
        <w:rPr>
          <w:rFonts w:ascii="Times New Roman" w:hAnsi="Times New Roman"/>
          <w:b w:val="0"/>
          <w:i w:val="0"/>
        </w:rPr>
        <w:t xml:space="preserve"> The full system achieved exact-5 accuracy 0.805±0.012 (±SD over 5 seeds), Cohen's κ 0.730±0.016, and against-class F1 0.908±0.023, versus strongest baseline LightRAG-only (0.613, 0.536, 0.525, 0.881), naive RAG (0.605, 0.514, 0.512, 0.890), and pure LLM (0.304, 0.254, 0.079, 0.346); all differences significant (FDR-adjusted p ≤ 0.001). Retrieval baselines collapsed onto frequent classes (conditional: 9 of 1,120 runs, 0.8%, versus 17.0% for the full system). Upgrading the generator did not rescue naive RAG (0.605→0.538).</w:t>
      </w:r>
    </w:p>
    <w:p>
      <w:r>
        <w:rPr>
          <w:rFonts w:ascii="Times New Roman" w:hAnsi="Times New Roman"/>
          <w:b/>
          <w:i w:val="0"/>
        </w:rPr>
        <w:t>Conclusions:</w:t>
      </w:r>
      <w:r>
        <w:rPr>
          <w:rFonts w:ascii="Times New Roman" w:hAnsi="Times New Roman"/>
          <w:b w:val="0"/>
          <w:i w:val="0"/>
        </w:rPr>
        <w:t xml:space="preserve"> Fine-grained action-space competence must be built into the architecture—rule-level priors and hard constraints—not delegated to prompting or larger models. Architecture, not generator tier, was the dominant lever; every output traces to consensus statements and evidence chunks, supporting clinical governance audits.</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Prostate cancer is among the most common malignancies in men [1,2]; population-level PSA screening reduces disease-specific mortality [3] and directs a diagnostic pathway whose cornerstone is biopsy [4]. The modern biopsy pathway extends far beyond a single "to biopsy or not" question: whether to add systematic cores to MRI-targeted cores [5], which saturation scheme to use [6], transperineal versus transrectal access and its complication profile [7,8], anaesthesia and antimicrobial prophylaxis, and whether the harvested tissue satisfies the demands of subsequent treatment planning must all be weighed against patient-specific factors — PI-RADS grade, PSA density, MRI quality, prior negative biopsy, anticoagulation, urinary-tract-infection risk factors, prostate volume, and more [4,9-12]. This modern pathway rests on validated mpMRI diagnostic accuracy [13] and repeated demonstrations that MRI-targeted sampling improves clinically significant cancer detection [14-17]. The ProBIOPSY consensus, a multidisciplinary international effort published in 2026, codified this pathway into 112 final statements and documented substantial international practice variation [4].</w:t>
      </w:r>
    </w:p>
    <w:p>
      <w:r>
        <w:rPr>
          <w:rFonts w:ascii="Times New Roman" w:hAnsi="Times New Roman"/>
          <w:b w:val="0"/>
          <w:i w:val="0"/>
        </w:rPr>
        <w:t xml:space="preserve">A consensus document, however, is not executable. Clinicians face a combinatorial space of patient scenarios × biopsy decisions (51 scenario archetypes × 54 decision items in the registries developed here); static lookup cannot cover the interactions. Rule-based clinical decision support systems (CDSS) capture deterministic logic but are slow to update [18], contribute to alert fatigue [19], and struggle with natural-language evidence [20]. Large language models promise flexible language understanding [21,22] and are approaching expert performance on medical question answering [23,24], yet carry well-documented risks in medicine — hallucination, unstable outputs, and unverifiable provenance [25] — and can diverge from clinical guidelines [26]. RAG grounds generation in an external corpus [27], and medical RAG benchmarks show promise [28], but purely retrieval-based pipelines have no mechanism to </w:t>
      </w:r>
      <w:r>
        <w:rPr>
          <w:rFonts w:ascii="Times New Roman" w:hAnsi="Times New Roman"/>
          <w:b w:val="0"/>
          <w:i/>
        </w:rPr>
        <w:t>forbid</w:t>
      </w:r>
      <w:r>
        <w:rPr>
          <w:rFonts w:ascii="Times New Roman" w:hAnsi="Times New Roman"/>
          <w:b w:val="0"/>
          <w:i w:val="0"/>
        </w:rPr>
        <w:t xml:space="preserve"> a plausible-sounding recommendation that contradicts the guideline.</w:t>
      </w:r>
    </w:p>
    <w:p>
      <w:r>
        <w:rPr>
          <w:rFonts w:ascii="Times New Roman" w:hAnsi="Times New Roman"/>
          <w:b w:val="0"/>
          <w:i w:val="0"/>
        </w:rPr>
        <w:t xml:space="preserve">These failure modes are complementary. A deterministic rule engine can mechanically veto non-compliant outputs; knowledge-graph retrieval can expose a traceable evidence chain; an LLM arbiter can supply linguistic flexibility. Chained as </w:t>
      </w:r>
      <w:r>
        <w:rPr>
          <w:rFonts w:ascii="Times New Roman" w:hAnsi="Times New Roman"/>
          <w:b w:val="0"/>
          <w:i/>
        </w:rPr>
        <w:t>rule gate → graph evidence → LLM arbitration</w:t>
      </w:r>
      <w:r>
        <w:rPr>
          <w:rFonts w:ascii="Times New Roman" w:hAnsi="Times New Roman"/>
          <w:b w:val="0"/>
          <w:i w:val="0"/>
        </w:rPr>
        <w:t xml:space="preserve"> — an integration consistent with emerging roadmaps for unifying large language models and knowledge graphs [29] — each layer covers the others' failure modes while preserving a complete audit trail from every output back to numbered consensus statements and evidence chunks. At the retrieval layer we adopt LightRAG [30], a graph-based dual-level retrieval framework that outperforms Microsoft GraphRAG [31] on domain question answering at a fraction of the token cost.</w:t>
      </w:r>
    </w:p>
    <w:p>
      <w:r>
        <w:rPr>
          <w:rFonts w:ascii="Times New Roman" w:hAnsi="Times New Roman"/>
          <w:b w:val="0"/>
          <w:i w:val="0"/>
        </w:rPr>
        <w:t>We developed and validated QianLieAnHui (前列安汇; "probiopsy-rag"), a hybrid decision-support system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system chaining deterministic rule hard constraints, LightRAG knowledge-graph retrieval, and LLM arbitration,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[4]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[32]);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[11]),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[30]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[33]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[34].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[35] of −0.09 reflects the known instability of κ under uneven category marginals at this sample size — the agreement paradox described by Feinstein and Cicchetti — rather than poor agreement [36].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Large language models are approaching expert-level medical question answering [24] and have generated patient-facing responses rated as more empathetic than physician responses [37]; for constrained, auditable decision support, however, our results indicate that decision architecture — not model capability — is the dominant lever. Medical RAG benchmarks such as MIRAGE [28]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[31] and LightRAG [30], our contribution is system-level: LightRAG remains the evidence engine, but the lightrag-only baseline demonstrates exactly what happens without a rule layer — against over-calling (sensitivity 1.000, specificity 0.922) and conditional silence. Relative to rule-based CDSS [20], our architecture compresses the auditable rule base to 16 consensus rules and delegates long-tail knowledge to graph retrieval, coupling the two via hard constraints rather than parallel voting.</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 [18].</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[36]),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the corpus is English, the scenario registry and UI Chinese; cross-lingual transfer is untested.</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reported under emerging AI-evaluation standards [38,39]; (iii) extending the rule base to other guideline chapters (active surveillance, imaging follow-up) and emerging PSMA-PET–first pathways [40] to test architecture portability; (iv) FHIR integration for automatic scenario filling from the EMR; (v) on-premises generator deployment to eliminate PHI-transfer concerns.</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Patient scenario and decision item flow through (1) a deterministic rule engine (12 consensus rules + 4 patient-factor escalation rules) emitting hard constraints, (2) risk-guided retrieval over the LightRAG knowledge graph fused with lexical evidence, and (3) an LLM arbiter producing a five-class action verdict with citations and a rule-enforced constraint check.</w:t>
      </w:r>
    </w:p>
    <w:p>
      <w:pPr>
        <w:jc w:val="center"/>
      </w:pPr>
      <w:r>
        <w:drawing>
          <wp:inline xmlns:a="http://schemas.openxmlformats.org/drawingml/2006/main" xmlns:pic="http://schemas.openxmlformats.org/drawingml/2006/picture">
            <wp:extent cx="5760000" cy="272825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2728251"/>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2176671"/>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2176671"/>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1953699"/>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1953699"/>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137143"/>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137143"/>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Bray F, Laversanne M, Sung H, et al. Global cancer statistics 2022: GLOBOCAN estimates of incidence and mortality worldwide for 36 cancers in 185 countries. CA A Cancer J Clinicians. 2024;74(3):229-263. https://doi.org/10.3322/caac.21834</w:t>
      </w:r>
    </w:p>
    <w:p>
      <w:pPr>
        <w:ind w:left="425" w:hanging="425"/>
      </w:pPr>
      <w:r>
        <w:rPr>
          <w:rFonts w:ascii="Times New Roman" w:hAnsi="Times New Roman"/>
          <w:b w:val="0"/>
          <w:i w:val="0"/>
        </w:rPr>
        <w:t>2. Cao W, Chen HD, Yu YW, Li N, Chen WQ. Changing profiles of cancer burden worldwide and in China: a secondary analysis of the global cancer statistics 2020. Chinese Medical Journal. 2021;134(7):783-791. https://doi.org/10.1097/cm9.0000000000001474</w:t>
      </w:r>
    </w:p>
    <w:p>
      <w:pPr>
        <w:ind w:left="425" w:hanging="425"/>
      </w:pPr>
      <w:r>
        <w:rPr>
          <w:rFonts w:ascii="Times New Roman" w:hAnsi="Times New Roman"/>
          <w:b w:val="0"/>
          <w:i w:val="0"/>
        </w:rPr>
        <w:t>3. Schröder FH, Hugosson J, Roobol MJ, et al. Prostate-Cancer Mortality at 11 Years of Follow-up. N Engl J Med. 2012;366(11):981-990. https://doi.org/10.1056/nejmoa1113135</w:t>
      </w:r>
    </w:p>
    <w:p>
      <w:pPr>
        <w:ind w:left="425" w:hanging="425"/>
      </w:pPr>
      <w:r>
        <w:rPr>
          <w:rFonts w:ascii="Times New Roman" w:hAnsi="Times New Roman"/>
          <w:b w:val="0"/>
          <w:i w:val="0"/>
        </w:rPr>
        <w:t>4. Chernysheva D, Di Bello F, Avesani G, et al. ProBIOPSY: A Multidisciplinary International Consensus on Standards for Prostate Biopsy. European Urology. 2026;90(3):212-224. https://doi.org/10.1016/j.eururo.2026.06.012</w:t>
      </w:r>
    </w:p>
    <w:p>
      <w:pPr>
        <w:ind w:left="425" w:hanging="425"/>
      </w:pPr>
      <w:r>
        <w:rPr>
          <w:rFonts w:ascii="Times New Roman" w:hAnsi="Times New Roman"/>
          <w:b w:val="0"/>
          <w:i w:val="0"/>
        </w:rPr>
        <w:t>5.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ind w:left="425" w:hanging="425"/>
      </w:pPr>
      <w:r>
        <w:rPr>
          <w:rFonts w:ascii="Times New Roman" w:hAnsi="Times New Roman"/>
          <w:b w:val="0"/>
          <w:i w:val="0"/>
        </w:rPr>
        <w:t>6.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ind w:left="425" w:hanging="425"/>
      </w:pPr>
      <w:r>
        <w:rPr>
          <w:rFonts w:ascii="Times New Roman" w:hAnsi="Times New Roman"/>
          <w:b w:val="0"/>
          <w:i w:val="0"/>
        </w:rPr>
        <w:t>7. Loeb S, Vellekoop A, Ahmed HU, et al. Systematic Review of Complications of Prostate Biopsy. European Urology. 2013;64(6):876-892. https://doi.org/10.1016/j.eururo.2013.05.049</w:t>
      </w:r>
    </w:p>
    <w:p>
      <w:pPr>
        <w:ind w:left="425" w:hanging="425"/>
      </w:pPr>
      <w:r>
        <w:rPr>
          <w:rFonts w:ascii="Times New Roman" w:hAnsi="Times New Roman"/>
          <w:b w:val="0"/>
          <w:i w:val="0"/>
        </w:rPr>
        <w:t>8. Nam RK, Saskin R, Lee Y, et al. Increasing Hospital Admission Rates for Urological Complications After Transrectal Ultrasound Guided Prostate Biopsy. Journal of Urology. 2010;183(3):963-969. https://doi.org/10.1016/j.juro.2009.11.043</w:t>
      </w:r>
    </w:p>
    <w:p>
      <w:pPr>
        <w:ind w:left="425" w:hanging="425"/>
      </w:pPr>
      <w:r>
        <w:rPr>
          <w:rFonts w:ascii="Times New Roman" w:hAnsi="Times New Roman"/>
          <w:b w:val="0"/>
          <w:i w:val="0"/>
        </w:rPr>
        <w:t>9. European Association of Urology. EAU Guidelines on Prostate Cancer. Arnhem: European Association of Urology; 2026. https://uroweb.org/guidelines/prostate-cancer (living guideline, accessed September 2026).</w:t>
      </w:r>
    </w:p>
    <w:p>
      <w:pPr>
        <w:ind w:left="425" w:hanging="425"/>
      </w:pPr>
      <w:r>
        <w:rPr>
          <w:rFonts w:ascii="Times New Roman" w:hAnsi="Times New Roman"/>
          <w:b w:val="0"/>
          <w:i w:val="0"/>
        </w:rPr>
        <w:t>10. Turkbey B, Rosenkrantz AB, Haider MA, et al. Prostate Imaging Reporting and Data System Version 2.1: 2019 Update of Prostate Imaging Reporting and Data System Version 2. European Urology. 2019;76(3):340-351. https://doi.org/10.1016/j.eururo.2019.02.033</w:t>
      </w:r>
    </w:p>
    <w:p>
      <w:pPr>
        <w:ind w:left="425" w:hanging="425"/>
      </w:pPr>
      <w:r>
        <w:rPr>
          <w:rFonts w:ascii="Times New Roman" w:hAnsi="Times New Roman"/>
          <w:b w:val="0"/>
          <w:i w:val="0"/>
        </w:rPr>
        <w:t>11.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ind w:left="425" w:hanging="425"/>
      </w:pPr>
      <w:r>
        <w:rPr>
          <w:rFonts w:ascii="Times New Roman" w:hAnsi="Times New Roman"/>
          <w:b w:val="0"/>
          <w:i w:val="0"/>
        </w:rPr>
        <w:t>12. Yusim I, Krenawi M, Mazor E, Novack V, Mabjeesh NJ. The use of prostate specific antigen density to predict clinically significant prostate cancer. Sci Rep. 2020;10(1):20015. https://doi.org/10.1038/s41598-020-76786-9</w:t>
      </w:r>
    </w:p>
    <w:p>
      <w:pPr>
        <w:ind w:left="425" w:hanging="425"/>
      </w:pPr>
      <w:r>
        <w:rPr>
          <w:rFonts w:ascii="Times New Roman" w:hAnsi="Times New Roman"/>
          <w:b w:val="0"/>
          <w:i w:val="0"/>
        </w:rPr>
        <w:t>13. Ahmed HU, El-Shater Bosaily A, Brown LC, et al. Diagnostic accuracy of multi-parametric MRI and TRUS biopsy in prostate cancer (PROMIS): a paired validating confirmatory study. The Lancet. 2017;389(10071):815-822. https://doi.org/10.1016/s0140-6736(16)32401-1</w:t>
      </w:r>
    </w:p>
    <w:p>
      <w:pPr>
        <w:ind w:left="425" w:hanging="425"/>
      </w:pPr>
      <w:r>
        <w:rPr>
          <w:rFonts w:ascii="Times New Roman" w:hAnsi="Times New Roman"/>
          <w:b w:val="0"/>
          <w:i w:val="0"/>
        </w:rPr>
        <w:t>14. Ahdoot M, Wilbur AR, Reese SE, et al. MRI-Targeted, Systematic, and Combined Biopsy for Prostate Cancer Diagnosis. N Engl J Med. 2020;382(10):917-928. https://doi.org/10.1056/nejmoa1910038</w:t>
      </w:r>
    </w:p>
    <w:p>
      <w:pPr>
        <w:ind w:left="425" w:hanging="425"/>
      </w:pPr>
      <w:r>
        <w:rPr>
          <w:rFonts w:ascii="Times New Roman" w:hAnsi="Times New Roman"/>
          <w:b w:val="0"/>
          <w:i w:val="0"/>
        </w:rPr>
        <w:t>15.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ind w:left="425" w:hanging="425"/>
      </w:pPr>
      <w:r>
        <w:rPr>
          <w:rFonts w:ascii="Times New Roman" w:hAnsi="Times New Roman"/>
          <w:b w:val="0"/>
          <w:i w:val="0"/>
        </w:rPr>
        <w:t>16.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ind w:left="425" w:hanging="425"/>
      </w:pPr>
      <w:r>
        <w:rPr>
          <w:rFonts w:ascii="Times New Roman" w:hAnsi="Times New Roman"/>
          <w:b w:val="0"/>
          <w:i w:val="0"/>
        </w:rPr>
        <w:t>17.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ind w:left="425" w:hanging="425"/>
      </w:pPr>
      <w:r>
        <w:rPr>
          <w:rFonts w:ascii="Times New Roman" w:hAnsi="Times New Roman"/>
          <w:b w:val="0"/>
          <w:i w:val="0"/>
        </w:rPr>
        <w:t>18. Hao S, Chai C, Li G, Tang N, Wang N, Yu X. Outdated Fact Detection in Knowledge Bases. In: 2020 IEEE 36th International Conference on Data Engineering (ICDE). IEEE; 2020:1890-1893. https://doi.org/10.1109/icde48307.2020.00196</w:t>
      </w:r>
    </w:p>
    <w:p>
      <w:pPr>
        <w:ind w:left="425" w:hanging="425"/>
      </w:pPr>
      <w:r>
        <w:rPr>
          <w:rFonts w:ascii="Times New Roman" w:hAnsi="Times New Roman"/>
          <w:b w:val="0"/>
          <w:i w:val="0"/>
        </w:rPr>
        <w:t>19. Ray CE, Wilson GM, Hughes AM, et al. Alert fatigue measurement in clinical decision support: a systematic review. Journal of the American Medical Informatics Association. 2026;33(8):1523-1531. https://doi.org/10.1093/jamia/ocag064</w:t>
      </w:r>
    </w:p>
    <w:p>
      <w:pPr>
        <w:ind w:left="425" w:hanging="425"/>
      </w:pPr>
      <w:r>
        <w:rPr>
          <w:rFonts w:ascii="Times New Roman" w:hAnsi="Times New Roman"/>
          <w:b w:val="0"/>
          <w:i w:val="0"/>
        </w:rPr>
        <w:t>20. Sutton RT, Pincock D, Baumgart DC, Sadowski DC, Fedorak RN, Kroeker KI. An overview of clinical decision support systems: benefits, risks, and strategies for success. npj Digit. Med. 2020;3(1):17. https://doi.org/10.1038/s41746-020-0221-y</w:t>
      </w:r>
    </w:p>
    <w:p>
      <w:pPr>
        <w:ind w:left="425" w:hanging="425"/>
      </w:pPr>
      <w:r>
        <w:rPr>
          <w:rFonts w:ascii="Times New Roman" w:hAnsi="Times New Roman"/>
          <w:b w:val="0"/>
          <w:i w:val="0"/>
        </w:rPr>
        <w:t>21. Rajpurkar P, Chen E, Banerjee O, Topol EJ. AI in health and medicine. Nat Med. 2022;28(1):31-38. https://doi.org/10.1038/s41591-021-01614-0</w:t>
      </w:r>
    </w:p>
    <w:p>
      <w:pPr>
        <w:ind w:left="425" w:hanging="425"/>
      </w:pPr>
      <w:r>
        <w:rPr>
          <w:rFonts w:ascii="Times New Roman" w:hAnsi="Times New Roman"/>
          <w:b w:val="0"/>
          <w:i w:val="0"/>
        </w:rPr>
        <w:t>22. Thirunavukarasu AJ, Ting DSJ, Elangovan K, Gutierrez L, Tan TF, Ting DSW. Large language models in medicine. Nat Med. 2023;29(8):1930-1940. https://doi.org/10.1038/s41591-023-02448-8</w:t>
      </w:r>
    </w:p>
    <w:p>
      <w:pPr>
        <w:ind w:left="425" w:hanging="425"/>
      </w:pPr>
      <w:r>
        <w:rPr>
          <w:rFonts w:ascii="Times New Roman" w:hAnsi="Times New Roman"/>
          <w:b w:val="0"/>
          <w:i w:val="0"/>
        </w:rPr>
        <w:t>23. Singhal K, Azizi S, Tu T, et al. Large language models encode clinical knowledge. Nature. 2023;620(7972):172-180. https://doi.org/10.1038/s41586-023-06291-2</w:t>
      </w:r>
    </w:p>
    <w:p>
      <w:pPr>
        <w:ind w:left="425" w:hanging="425"/>
      </w:pPr>
      <w:r>
        <w:rPr>
          <w:rFonts w:ascii="Times New Roman" w:hAnsi="Times New Roman"/>
          <w:b w:val="0"/>
          <w:i w:val="0"/>
        </w:rPr>
        <w:t>24. Singhal K, Tu T, Gottweis J, et al. Toward expert-level medical question answering with large language models. Nat Med. 2025;31(3):943-950. https://doi.org/10.1038/s41591-024-03423-7</w:t>
      </w:r>
    </w:p>
    <w:p>
      <w:pPr>
        <w:ind w:left="425" w:hanging="425"/>
      </w:pPr>
      <w:r>
        <w:rPr>
          <w:rFonts w:ascii="Times New Roman" w:hAnsi="Times New Roman"/>
          <w:b w:val="0"/>
          <w:i w:val="0"/>
        </w:rPr>
        <w:t>25. Ji Z, Lee N, Frieske R, et al. Survey of Hallucination in Natural Language Generation. ACM Comput. Surv. 2023;55(12):1-38. https://doi.org/10.1145/3571730</w:t>
      </w:r>
    </w:p>
    <w:p>
      <w:pPr>
        <w:ind w:left="425" w:hanging="425"/>
      </w:pPr>
      <w:r>
        <w:rPr>
          <w:rFonts w:ascii="Times New Roman" w:hAnsi="Times New Roman"/>
          <w:b w:val="0"/>
          <w:i w:val="0"/>
        </w:rPr>
        <w:t>26. Fast D, Adams LC, Busch F, et al. Autonomous medical evaluation for guideline adherence of large language models. npj Digit. Med. 2024;7(1):358. https://doi.org/10.1038/s41746-024-01356-6</w:t>
      </w:r>
    </w:p>
    <w:p>
      <w:pPr>
        <w:ind w:left="425" w:hanging="425"/>
      </w:pPr>
      <w:r>
        <w:rPr>
          <w:rFonts w:ascii="Times New Roman" w:hAnsi="Times New Roman"/>
          <w:b w:val="0"/>
          <w:i w:val="0"/>
        </w:rPr>
        <w:t>27. Lewis P, Perez E, Piktus A, et al. Retrieval-augmented generation for knowledge-intensive NLP tasks. Adv Neural Inf Process Syst. 2020;33:9459-74. arXiv:2005.11401 (verified via arXiv API).</w:t>
      </w:r>
    </w:p>
    <w:p>
      <w:pPr>
        <w:ind w:left="425" w:hanging="425"/>
      </w:pPr>
      <w:r>
        <w:rPr>
          <w:rFonts w:ascii="Times New Roman" w:hAnsi="Times New Roman"/>
          <w:b w:val="0"/>
          <w:i w:val="0"/>
        </w:rPr>
        <w:t>28. Xiong G, Jin Q, Lu Z, Zhang A. Benchmarking Retrieval-Augmented Generation for Medicine. Findings of the Association for Computational Linguistics ACL 2024. 2024:6233-6251. https://doi.org/10.18653/v1/2024.findings-acl.372</w:t>
      </w:r>
    </w:p>
    <w:p>
      <w:pPr>
        <w:ind w:left="425" w:hanging="425"/>
      </w:pPr>
      <w:r>
        <w:rPr>
          <w:rFonts w:ascii="Times New Roman" w:hAnsi="Times New Roman"/>
          <w:b w:val="0"/>
          <w:i w:val="0"/>
        </w:rPr>
        <w:t>29. Pan S, Luo L, Wang Y, Chen C, Wang J, Wu X. Unifying Large Language Models and Knowledge Graphs: A Roadmap. IEEE Trans. Knowl. Data Eng. 2024;36(7):3580-3599. https://doi.org/10.1109/tkde.2024.3352100</w:t>
      </w:r>
    </w:p>
    <w:p>
      <w:pPr>
        <w:ind w:left="425" w:hanging="425"/>
      </w:pPr>
      <w:r>
        <w:rPr>
          <w:rFonts w:ascii="Times New Roman" w:hAnsi="Times New Roman"/>
          <w:b w:val="0"/>
          <w:i w:val="0"/>
        </w:rPr>
        <w:t>30. Guo Z, Xia L, Yu Y, Ao T, Huang C. LightRAG: simple and fast retrieval-augmented generation. arXiv:2410.05779, 2024 (verified against arXiv listing).</w:t>
      </w:r>
    </w:p>
    <w:p>
      <w:pPr>
        <w:ind w:left="425" w:hanging="425"/>
      </w:pPr>
      <w:r>
        <w:rPr>
          <w:rFonts w:ascii="Times New Roman" w:hAnsi="Times New Roman"/>
          <w:b w:val="0"/>
          <w:i w:val="0"/>
        </w:rPr>
        <w:t>31. Edge D, Trinh H, Cheng N, et al. From local to global: a Graph RAG approach to query-focused summarization. arXiv:2404.16130, 2024 (verified via arXiv API).</w:t>
      </w:r>
    </w:p>
    <w:p>
      <w:pPr>
        <w:ind w:left="425" w:hanging="425"/>
      </w:pPr>
      <w:r>
        <w:rPr>
          <w:rFonts w:ascii="Times New Roman" w:hAnsi="Times New Roman"/>
          <w:b w:val="0"/>
          <w:i w:val="0"/>
        </w:rPr>
        <w:t>32.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ind w:left="425" w:hanging="425"/>
      </w:pPr>
      <w:r>
        <w:rPr>
          <w:rFonts w:ascii="Times New Roman" w:hAnsi="Times New Roman"/>
          <w:b w:val="0"/>
          <w:i w:val="0"/>
        </w:rPr>
        <w:t>33. Cohen J. A Coefficient of Agreement for Nominal Scales. Educational and Psychological Measurement. 1960;20(1):37-46. https://doi.org/10.1177/001316446002000104</w:t>
      </w:r>
    </w:p>
    <w:p>
      <w:pPr>
        <w:ind w:left="425" w:hanging="425"/>
      </w:pPr>
      <w:r>
        <w:rPr>
          <w:rFonts w:ascii="Times New Roman" w:hAnsi="Times New Roman"/>
          <w:b w:val="0"/>
          <w:i w:val="0"/>
        </w:rPr>
        <w:t>34. Benjamini Y, Hochberg Y. Controlling the False Discovery Rate: A Practical and Powerful Approach to Multiple Testing. Journal of the Royal Statistical Society Series B: Statistical Methodology. 1995;57(1):289-300. https://doi.org/10.1111/j.2517-6161.1995.tb02031.x</w:t>
      </w:r>
    </w:p>
    <w:p>
      <w:pPr>
        <w:ind w:left="425" w:hanging="425"/>
      </w:pPr>
      <w:r>
        <w:rPr>
          <w:rFonts w:ascii="Times New Roman" w:hAnsi="Times New Roman"/>
          <w:b w:val="0"/>
          <w:i w:val="0"/>
        </w:rPr>
        <w:t>35. Fleiss JL. Measuring nominal scale agreement among many raters.. Psychological Bulletin. 1971;76(5):378-382. https://doi.org/10.1037/h0031619</w:t>
      </w:r>
    </w:p>
    <w:p>
      <w:pPr>
        <w:ind w:left="425" w:hanging="425"/>
      </w:pPr>
      <w:r>
        <w:rPr>
          <w:rFonts w:ascii="Times New Roman" w:hAnsi="Times New Roman"/>
          <w:b w:val="0"/>
          <w:i w:val="0"/>
        </w:rPr>
        <w:t>36. Feinstein AR, Cicchetti DV. High agreement but low Kappa: I. the problems of two paradoxes. Journal of Clinical Epidemiology. 1990;43(6):543-549. https://doi.org/10.1016/0895-4356(90)90158-l</w:t>
      </w:r>
    </w:p>
    <w:p>
      <w:pPr>
        <w:ind w:left="425" w:hanging="425"/>
      </w:pPr>
      <w:r>
        <w:rPr>
          <w:rFonts w:ascii="Times New Roman" w:hAnsi="Times New Roman"/>
          <w:b w:val="0"/>
          <w:i w:val="0"/>
        </w:rPr>
        <w:t>37. Ayers JW, Poliak A, Dredze M, et al. Comparing Physician and Artificial Intelligence Chatbot Responses to Patient Questions Posted to a Public Social Media Forum. JAMA Intern Med. 2023;183(6):589. https://doi.org/10.1001/jamainternmed.2023.1838</w:t>
      </w:r>
    </w:p>
    <w:p>
      <w:pPr>
        <w:ind w:left="425" w:hanging="425"/>
      </w:pPr>
      <w:r>
        <w:rPr>
          <w:rFonts w:ascii="Times New Roman" w:hAnsi="Times New Roman"/>
          <w:b w:val="0"/>
          <w:i w:val="0"/>
        </w:rPr>
        <w:t>38. Vasey B, Nagendran M, Campbell B, et al. Reporting guideline for the early stage clinical evaluation of decision support systems driven by artificial intelligence: DECIDE-AI. BMJ. 2022;377:e070904. https://doi.org/10.1136/bmj-2022-070904</w:t>
      </w:r>
    </w:p>
    <w:p>
      <w:pPr>
        <w:ind w:left="425" w:hanging="425"/>
      </w:pPr>
      <w:r>
        <w:rPr>
          <w:rFonts w:ascii="Times New Roman" w:hAnsi="Times New Roman"/>
          <w:b w:val="0"/>
          <w:i w:val="0"/>
        </w:rPr>
        <w:t>39. Collins GS, Moons KGM, Dhiman P, et al. TRIPOD+AI statement: updated guidance for reporting clinical prediction models that use regression or machine learning methods. BMJ. 2024;385:e078378. https://doi.org/10.1136/bmj-2023-078378</w:t>
      </w:r>
    </w:p>
    <w:p>
      <w:pPr>
        <w:ind w:left="425" w:hanging="425"/>
      </w:pPr>
      <w:r>
        <w:rPr>
          <w:rFonts w:ascii="Times New Roman" w:hAnsi="Times New Roman"/>
          <w:b w:val="0"/>
          <w:i w:val="0"/>
        </w:rPr>
        <w:t>40. Al-Khanaty A, Hennes D, Hofman MS, et al. Avoiding Prostate Biopsy in Early Prostate Cancer Detection: From Liquid Biopsy to PSMA-PET. European Urology Focus. 2026. https://doi.org/10.1016/j.euf.2026.05.019</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all 40 references verified programmatically on 2026-09-17 — DOI-based entries resolved against the Crossref API (api.crossref.org; metadata auto-generated in `scripts/renumber_refs.py`, cache `outputs/paper/refs_vancouver.json`), arXiv entries (refs for LightRAG, GraphRAG, Lewis RAG) verified via the arXiv API / arXiv listings; the EAU guideline is a living web citation — update edition and access 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